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9876" w14:textId="77777777" w:rsidR="00915761" w:rsidRPr="00135D4F" w:rsidRDefault="00135D4F" w:rsidP="00135D4F">
      <w:pPr>
        <w:jc w:val="center"/>
        <w:rPr>
          <w:rFonts w:ascii="Cambria" w:hAnsi="Cambria"/>
          <w:b/>
        </w:rPr>
      </w:pPr>
      <w:r w:rsidRPr="00135D4F">
        <w:rPr>
          <w:rFonts w:ascii="Cambria" w:hAnsi="Cambria"/>
          <w:b/>
        </w:rPr>
        <w:t>Liberal Education Committee</w:t>
      </w:r>
    </w:p>
    <w:p w14:paraId="1497AE0D" w14:textId="72988817" w:rsidR="00135D4F" w:rsidRPr="00135D4F" w:rsidRDefault="000243F6" w:rsidP="00135D4F">
      <w:pPr>
        <w:jc w:val="center"/>
        <w:rPr>
          <w:rFonts w:ascii="Cambria" w:hAnsi="Cambria"/>
          <w:b/>
        </w:rPr>
      </w:pPr>
      <w:r>
        <w:rPr>
          <w:rFonts w:ascii="Cambria" w:hAnsi="Cambria"/>
          <w:b/>
        </w:rPr>
        <w:t>18</w:t>
      </w:r>
      <w:r w:rsidR="00135D4F" w:rsidRPr="00135D4F">
        <w:rPr>
          <w:rFonts w:ascii="Cambria" w:hAnsi="Cambria"/>
          <w:b/>
        </w:rPr>
        <w:t xml:space="preserve"> September 2015</w:t>
      </w:r>
    </w:p>
    <w:p w14:paraId="19FCF1A1" w14:textId="13254F95" w:rsidR="00135D4F" w:rsidRPr="00135D4F" w:rsidRDefault="000243F6" w:rsidP="00135D4F">
      <w:pPr>
        <w:jc w:val="center"/>
        <w:rPr>
          <w:rFonts w:ascii="Cambria" w:hAnsi="Cambria"/>
          <w:b/>
        </w:rPr>
      </w:pPr>
      <w:r>
        <w:rPr>
          <w:rFonts w:ascii="Cambria" w:hAnsi="Cambria"/>
          <w:b/>
        </w:rPr>
        <w:t>204 McCartney Hall</w:t>
      </w:r>
    </w:p>
    <w:p w14:paraId="67A664A5" w14:textId="55749F58" w:rsidR="00135D4F" w:rsidRDefault="00135D4F" w:rsidP="00865C10">
      <w:pPr>
        <w:jc w:val="center"/>
        <w:rPr>
          <w:rFonts w:ascii="Cambria" w:hAnsi="Cambria"/>
          <w:b/>
        </w:rPr>
      </w:pPr>
      <w:r w:rsidRPr="00135D4F">
        <w:rPr>
          <w:rFonts w:ascii="Cambria" w:hAnsi="Cambria"/>
          <w:b/>
        </w:rPr>
        <w:t>3:00 – 4:30 p.m.</w:t>
      </w:r>
    </w:p>
    <w:p w14:paraId="756FFA96" w14:textId="77777777" w:rsidR="00135D4F" w:rsidRPr="00135D4F" w:rsidRDefault="00135D4F" w:rsidP="00135D4F">
      <w:pPr>
        <w:jc w:val="center"/>
        <w:rPr>
          <w:rFonts w:ascii="Cambria" w:hAnsi="Cambria"/>
          <w:b/>
        </w:rPr>
      </w:pPr>
      <w:r w:rsidRPr="00135D4F">
        <w:rPr>
          <w:rFonts w:ascii="Cambria" w:hAnsi="Cambria"/>
          <w:b/>
        </w:rPr>
        <w:t>Minutes</w:t>
      </w:r>
    </w:p>
    <w:p w14:paraId="63ED34DE" w14:textId="77777777" w:rsidR="00135D4F" w:rsidRDefault="00135D4F" w:rsidP="00135D4F">
      <w:pPr>
        <w:jc w:val="center"/>
        <w:rPr>
          <w:rFonts w:ascii="Cambria" w:hAnsi="Cambria"/>
        </w:rPr>
      </w:pPr>
    </w:p>
    <w:p w14:paraId="1E12038A" w14:textId="30B904A2" w:rsidR="00135D4F" w:rsidRPr="00135D4F" w:rsidRDefault="00135D4F" w:rsidP="00135D4F">
      <w:pPr>
        <w:rPr>
          <w:rFonts w:ascii="Cambria" w:hAnsi="Cambria"/>
        </w:rPr>
      </w:pPr>
      <w:r>
        <w:rPr>
          <w:rFonts w:ascii="Cambria" w:hAnsi="Cambria"/>
          <w:b/>
        </w:rPr>
        <w:t>The mee</w:t>
      </w:r>
      <w:r w:rsidR="000243F6">
        <w:rPr>
          <w:rFonts w:ascii="Cambria" w:hAnsi="Cambria"/>
          <w:b/>
        </w:rPr>
        <w:t>ting was called to order at 3:06</w:t>
      </w:r>
      <w:r>
        <w:rPr>
          <w:rFonts w:ascii="Cambria" w:hAnsi="Cambria"/>
          <w:b/>
        </w:rPr>
        <w:t xml:space="preserve"> p.m. </w:t>
      </w:r>
      <w:r>
        <w:rPr>
          <w:rFonts w:ascii="Cambria" w:hAnsi="Cambria"/>
        </w:rPr>
        <w:t xml:space="preserve">by Chairperson Rackaway, who recognized a quorum was present. </w:t>
      </w:r>
    </w:p>
    <w:p w14:paraId="341E8546" w14:textId="77777777" w:rsidR="00135D4F" w:rsidRDefault="00135D4F" w:rsidP="00135D4F">
      <w:pPr>
        <w:rPr>
          <w:rFonts w:ascii="Cambria" w:hAnsi="Cambria"/>
        </w:rPr>
      </w:pPr>
    </w:p>
    <w:p w14:paraId="11EB947E" w14:textId="7E22930E" w:rsidR="00135D4F" w:rsidRDefault="007454DA" w:rsidP="00135D4F">
      <w:pPr>
        <w:rPr>
          <w:rFonts w:ascii="Cambria" w:hAnsi="Cambria"/>
        </w:rPr>
      </w:pPr>
      <w:r>
        <w:rPr>
          <w:rFonts w:ascii="Cambria" w:hAnsi="Cambria"/>
          <w:b/>
        </w:rPr>
        <w:t>P</w:t>
      </w:r>
      <w:r w:rsidR="00135D4F">
        <w:rPr>
          <w:rFonts w:ascii="Cambria" w:hAnsi="Cambria"/>
          <w:b/>
        </w:rPr>
        <w:t xml:space="preserve">resent:  </w:t>
      </w:r>
      <w:r w:rsidR="00135D4F">
        <w:rPr>
          <w:rFonts w:ascii="Cambria" w:hAnsi="Cambria"/>
        </w:rPr>
        <w:t xml:space="preserve">Dr. Chapman Rackaway (Chair), Ms. April Terry, Ms. Jessica </w:t>
      </w:r>
      <w:proofErr w:type="spellStart"/>
      <w:r w:rsidR="00135D4F">
        <w:rPr>
          <w:rFonts w:ascii="Cambria" w:hAnsi="Cambria"/>
        </w:rPr>
        <w:t>Heronemus</w:t>
      </w:r>
      <w:proofErr w:type="spellEnd"/>
      <w:r w:rsidR="00135D4F">
        <w:rPr>
          <w:rFonts w:ascii="Cambria" w:hAnsi="Cambria"/>
        </w:rPr>
        <w:t xml:space="preserve">, Dr. Carol Patrick, Dr. Tom Schafer, Dr. Jeff Burnett, Dr. Brad Will, Ms. Robyn Hartman, Mr. </w:t>
      </w:r>
      <w:r w:rsidR="00020315">
        <w:rPr>
          <w:rFonts w:ascii="Cambria" w:hAnsi="Cambria"/>
        </w:rPr>
        <w:t xml:space="preserve">Kenton Russell, Mr. Cody Scheck, </w:t>
      </w:r>
      <w:r w:rsidR="000243F6">
        <w:rPr>
          <w:rFonts w:ascii="Cambria" w:hAnsi="Cambria"/>
        </w:rPr>
        <w:t xml:space="preserve">Mr. Ben Cline, Dr. Kenny </w:t>
      </w:r>
      <w:proofErr w:type="spellStart"/>
      <w:r w:rsidR="000243F6">
        <w:rPr>
          <w:rFonts w:ascii="Cambria" w:hAnsi="Cambria"/>
        </w:rPr>
        <w:t>Rigler</w:t>
      </w:r>
      <w:proofErr w:type="spellEnd"/>
      <w:r w:rsidR="000243F6">
        <w:rPr>
          <w:rFonts w:ascii="Cambria" w:hAnsi="Cambria"/>
        </w:rPr>
        <w:t xml:space="preserve">, </w:t>
      </w:r>
      <w:r w:rsidR="00020315">
        <w:rPr>
          <w:rFonts w:ascii="Cambria" w:hAnsi="Cambria"/>
        </w:rPr>
        <w:t xml:space="preserve">Dr. Teresa Woods. </w:t>
      </w:r>
      <w:r>
        <w:rPr>
          <w:rFonts w:ascii="Cambria" w:hAnsi="Cambria"/>
          <w:b/>
        </w:rPr>
        <w:t>A</w:t>
      </w:r>
      <w:r w:rsidR="00135D4F">
        <w:rPr>
          <w:rFonts w:ascii="Cambria" w:hAnsi="Cambria"/>
          <w:b/>
        </w:rPr>
        <w:t xml:space="preserve">bsent: </w:t>
      </w:r>
      <w:r w:rsidR="000243F6">
        <w:rPr>
          <w:rFonts w:ascii="Cambria" w:hAnsi="Cambria"/>
        </w:rPr>
        <w:t>Dr. Bill Weber, Dr. Tim Crowley.</w:t>
      </w:r>
    </w:p>
    <w:p w14:paraId="15AC52E2" w14:textId="77777777" w:rsidR="00135D4F" w:rsidRDefault="00135D4F" w:rsidP="00135D4F">
      <w:pPr>
        <w:rPr>
          <w:rFonts w:ascii="Cambria" w:hAnsi="Cambria"/>
        </w:rPr>
      </w:pPr>
    </w:p>
    <w:p w14:paraId="0EF468EB" w14:textId="539C836C" w:rsidR="00135D4F" w:rsidRDefault="000243F6" w:rsidP="00135D4F">
      <w:pPr>
        <w:rPr>
          <w:rFonts w:ascii="Cambria" w:hAnsi="Cambria"/>
        </w:rPr>
      </w:pPr>
      <w:r>
        <w:rPr>
          <w:rFonts w:ascii="Cambria" w:hAnsi="Cambria"/>
          <w:b/>
        </w:rPr>
        <w:t>Agenda Item 2</w:t>
      </w:r>
      <w:r w:rsidR="00135D4F">
        <w:rPr>
          <w:rFonts w:ascii="Cambria" w:hAnsi="Cambria"/>
          <w:b/>
        </w:rPr>
        <w:t xml:space="preserve">:  </w:t>
      </w:r>
      <w:r>
        <w:rPr>
          <w:rFonts w:ascii="Cambria" w:hAnsi="Cambria"/>
        </w:rPr>
        <w:t>Minutes from September 10</w:t>
      </w:r>
      <w:r w:rsidRPr="000243F6">
        <w:rPr>
          <w:rFonts w:ascii="Cambria" w:hAnsi="Cambria"/>
          <w:vertAlign w:val="superscript"/>
        </w:rPr>
        <w:t>th</w:t>
      </w:r>
      <w:r>
        <w:rPr>
          <w:rFonts w:ascii="Cambria" w:hAnsi="Cambria"/>
        </w:rPr>
        <w:t xml:space="preserve"> meeting </w:t>
      </w:r>
      <w:proofErr w:type="gramStart"/>
      <w:r>
        <w:rPr>
          <w:rFonts w:ascii="Cambria" w:hAnsi="Cambria"/>
        </w:rPr>
        <w:t>were reviewed</w:t>
      </w:r>
      <w:proofErr w:type="gramEnd"/>
      <w:r>
        <w:rPr>
          <w:rFonts w:ascii="Cambria" w:hAnsi="Cambria"/>
        </w:rPr>
        <w:t xml:space="preserve">.  Mr. Russell moved that the minutes be approved, seconded by Ms. </w:t>
      </w:r>
      <w:proofErr w:type="spellStart"/>
      <w:r>
        <w:rPr>
          <w:rFonts w:ascii="Cambria" w:hAnsi="Cambria"/>
        </w:rPr>
        <w:t>Heronemus</w:t>
      </w:r>
      <w:proofErr w:type="spellEnd"/>
      <w:r>
        <w:rPr>
          <w:rFonts w:ascii="Cambria" w:hAnsi="Cambria"/>
        </w:rPr>
        <w:t>, and the motion passed.</w:t>
      </w:r>
      <w:r w:rsidR="00135D4F">
        <w:rPr>
          <w:rFonts w:ascii="Cambria" w:hAnsi="Cambria"/>
        </w:rPr>
        <w:t xml:space="preserve">  </w:t>
      </w:r>
    </w:p>
    <w:p w14:paraId="5169B76B" w14:textId="77777777" w:rsidR="00135D4F" w:rsidRDefault="00135D4F" w:rsidP="00135D4F">
      <w:pPr>
        <w:rPr>
          <w:rFonts w:ascii="Cambria" w:hAnsi="Cambria"/>
        </w:rPr>
      </w:pPr>
    </w:p>
    <w:p w14:paraId="562F0547" w14:textId="6B1866A7" w:rsidR="009651FE" w:rsidRPr="009651FE" w:rsidRDefault="000243F6" w:rsidP="009651FE">
      <w:pPr>
        <w:rPr>
          <w:rFonts w:ascii="Cambria" w:hAnsi="Cambria"/>
          <w:b/>
        </w:rPr>
      </w:pPr>
      <w:r>
        <w:rPr>
          <w:rFonts w:ascii="Cambria" w:hAnsi="Cambria"/>
          <w:b/>
        </w:rPr>
        <w:t>Agenda Item 3</w:t>
      </w:r>
      <w:r w:rsidR="00135D4F">
        <w:rPr>
          <w:rFonts w:ascii="Cambria" w:hAnsi="Cambria"/>
          <w:b/>
        </w:rPr>
        <w:t xml:space="preserve">: </w:t>
      </w:r>
      <w:r w:rsidR="009651FE">
        <w:rPr>
          <w:rFonts w:ascii="Cambria" w:hAnsi="Cambria"/>
          <w:b/>
        </w:rPr>
        <w:t xml:space="preserve"> </w:t>
      </w:r>
      <w:r w:rsidR="00C82B7B">
        <w:rPr>
          <w:rFonts w:ascii="Cambria" w:hAnsi="Cambria"/>
        </w:rPr>
        <w:t>Chairperson Rackaway</w:t>
      </w:r>
      <w:r w:rsidRPr="009651FE">
        <w:rPr>
          <w:rFonts w:ascii="Cambria" w:hAnsi="Cambria"/>
        </w:rPr>
        <w:t xml:space="preserve"> led </w:t>
      </w:r>
      <w:r w:rsidR="00A07DFB">
        <w:rPr>
          <w:rFonts w:ascii="Cambria" w:hAnsi="Cambria"/>
        </w:rPr>
        <w:t xml:space="preserve">discussion on whether </w:t>
      </w:r>
      <w:r w:rsidRPr="009651FE">
        <w:rPr>
          <w:rFonts w:ascii="Cambria" w:hAnsi="Cambria"/>
        </w:rPr>
        <w:t>the committee could advocate for the DQP as a starting point for generating a new Liberal Education p</w:t>
      </w:r>
      <w:r w:rsidR="009651FE" w:rsidRPr="009651FE">
        <w:rPr>
          <w:rFonts w:ascii="Cambria" w:hAnsi="Cambria"/>
        </w:rPr>
        <w:t>lan</w:t>
      </w:r>
      <w:r w:rsidR="00A07DFB">
        <w:rPr>
          <w:rFonts w:ascii="Cambria" w:hAnsi="Cambria"/>
        </w:rPr>
        <w:t xml:space="preserve"> or not</w:t>
      </w:r>
      <w:r w:rsidR="009651FE" w:rsidRPr="009651FE">
        <w:rPr>
          <w:rFonts w:ascii="Cambria" w:hAnsi="Cambria"/>
        </w:rPr>
        <w:t xml:space="preserve">.  </w:t>
      </w:r>
    </w:p>
    <w:p w14:paraId="732DE5AC" w14:textId="015EF5BA" w:rsidR="009651FE" w:rsidRPr="009651FE" w:rsidRDefault="009651FE" w:rsidP="009651FE">
      <w:pPr>
        <w:pStyle w:val="ListParagraph"/>
        <w:numPr>
          <w:ilvl w:val="0"/>
          <w:numId w:val="8"/>
        </w:numPr>
        <w:rPr>
          <w:rFonts w:ascii="Cambria" w:hAnsi="Cambria"/>
        </w:rPr>
      </w:pPr>
      <w:r w:rsidRPr="009651FE">
        <w:rPr>
          <w:rFonts w:ascii="Cambria" w:hAnsi="Cambria"/>
        </w:rPr>
        <w:t>Strengths and weaknesses raised in the September 10 meeting were reviewed.</w:t>
      </w:r>
    </w:p>
    <w:p w14:paraId="39026A3E" w14:textId="4C508F1C" w:rsidR="009651FE" w:rsidRDefault="009651FE" w:rsidP="009651FE">
      <w:pPr>
        <w:pStyle w:val="ListParagraph"/>
        <w:numPr>
          <w:ilvl w:val="0"/>
          <w:numId w:val="8"/>
        </w:numPr>
        <w:rPr>
          <w:rFonts w:ascii="Cambria" w:hAnsi="Cambria"/>
        </w:rPr>
      </w:pPr>
      <w:r>
        <w:rPr>
          <w:rFonts w:ascii="Cambria" w:hAnsi="Cambria"/>
        </w:rPr>
        <w:t xml:space="preserve">The ad hoc committee </w:t>
      </w:r>
      <w:r w:rsidR="003E2AB0">
        <w:rPr>
          <w:rFonts w:ascii="Cambria" w:hAnsi="Cambria"/>
        </w:rPr>
        <w:t xml:space="preserve">(Patrick, </w:t>
      </w:r>
      <w:proofErr w:type="spellStart"/>
      <w:r w:rsidR="003E2AB0">
        <w:rPr>
          <w:rFonts w:ascii="Cambria" w:hAnsi="Cambria"/>
        </w:rPr>
        <w:t>Heronemus</w:t>
      </w:r>
      <w:proofErr w:type="spellEnd"/>
      <w:r w:rsidR="003E2AB0">
        <w:rPr>
          <w:rFonts w:ascii="Cambria" w:hAnsi="Cambria"/>
        </w:rPr>
        <w:t xml:space="preserve">, Harman) </w:t>
      </w:r>
      <w:r>
        <w:rPr>
          <w:rFonts w:ascii="Cambria" w:hAnsi="Cambria"/>
        </w:rPr>
        <w:t xml:space="preserve">tasked with mapping current FHSU General Education learning objectives to DQP’s areas of proficiency reported on their work (see </w:t>
      </w:r>
      <w:r w:rsidR="00A07DFB">
        <w:rPr>
          <w:rFonts w:ascii="Cambria" w:hAnsi="Cambria"/>
        </w:rPr>
        <w:t xml:space="preserve">distributed </w:t>
      </w:r>
      <w:r>
        <w:rPr>
          <w:rFonts w:ascii="Cambria" w:hAnsi="Cambria"/>
        </w:rPr>
        <w:t xml:space="preserve">documents).  </w:t>
      </w:r>
      <w:r w:rsidR="00865C10">
        <w:rPr>
          <w:rFonts w:ascii="Cambria" w:hAnsi="Cambria"/>
        </w:rPr>
        <w:t>T</w:t>
      </w:r>
      <w:r>
        <w:rPr>
          <w:rFonts w:ascii="Cambria" w:hAnsi="Cambria"/>
        </w:rPr>
        <w:t xml:space="preserve">he DQP </w:t>
      </w:r>
      <w:r w:rsidR="00865C10">
        <w:rPr>
          <w:rFonts w:ascii="Cambria" w:hAnsi="Cambria"/>
        </w:rPr>
        <w:t xml:space="preserve">was seen </w:t>
      </w:r>
      <w:r>
        <w:rPr>
          <w:rFonts w:ascii="Cambria" w:hAnsi="Cambria"/>
        </w:rPr>
        <w:t>as allowing for flexibility of individual institutions, while also providing a framework that is widely used and accepted.</w:t>
      </w:r>
    </w:p>
    <w:p w14:paraId="3A924743" w14:textId="77777777" w:rsidR="00C82B7B" w:rsidRDefault="00C82B7B" w:rsidP="00C82B7B">
      <w:pPr>
        <w:pStyle w:val="ListParagraph"/>
        <w:numPr>
          <w:ilvl w:val="0"/>
          <w:numId w:val="8"/>
        </w:numPr>
        <w:rPr>
          <w:rFonts w:ascii="Cambria" w:hAnsi="Cambria"/>
        </w:rPr>
      </w:pPr>
      <w:r w:rsidRPr="009651FE">
        <w:rPr>
          <w:rFonts w:ascii="Cambria" w:hAnsi="Cambria"/>
        </w:rPr>
        <w:t xml:space="preserve">Discussion </w:t>
      </w:r>
      <w:r>
        <w:rPr>
          <w:rFonts w:ascii="Cambria" w:hAnsi="Cambria"/>
        </w:rPr>
        <w:t>of</w:t>
      </w:r>
      <w:r w:rsidRPr="009651FE">
        <w:rPr>
          <w:rFonts w:ascii="Cambria" w:hAnsi="Cambria"/>
        </w:rPr>
        <w:t xml:space="preserve"> the pros and cons of including FHSU’s graduate programs </w:t>
      </w:r>
      <w:r>
        <w:rPr>
          <w:rFonts w:ascii="Cambria" w:hAnsi="Cambria"/>
        </w:rPr>
        <w:t xml:space="preserve">in the Committee’s final recommendations raised certain issues:  </w:t>
      </w:r>
    </w:p>
    <w:p w14:paraId="18C4A059" w14:textId="39346103" w:rsidR="00C82B7B" w:rsidRDefault="00A07DFB" w:rsidP="00C82B7B">
      <w:pPr>
        <w:pStyle w:val="ListParagraph"/>
        <w:numPr>
          <w:ilvl w:val="1"/>
          <w:numId w:val="8"/>
        </w:numPr>
        <w:rPr>
          <w:rFonts w:ascii="Cambria" w:hAnsi="Cambria"/>
        </w:rPr>
      </w:pPr>
      <w:r>
        <w:rPr>
          <w:rFonts w:ascii="Cambria" w:hAnsi="Cambria"/>
        </w:rPr>
        <w:t xml:space="preserve">A rationale for including graduate level programs would be assess </w:t>
      </w:r>
      <w:r w:rsidR="00C82B7B">
        <w:rPr>
          <w:rFonts w:ascii="Cambria" w:hAnsi="Cambria"/>
        </w:rPr>
        <w:t>graduate outcomes in a way that would provide external validity.</w:t>
      </w:r>
    </w:p>
    <w:p w14:paraId="4A4822FD" w14:textId="77777777" w:rsidR="00C82B7B" w:rsidRDefault="00C82B7B" w:rsidP="00C82B7B">
      <w:pPr>
        <w:pStyle w:val="ListParagraph"/>
        <w:numPr>
          <w:ilvl w:val="1"/>
          <w:numId w:val="8"/>
        </w:numPr>
        <w:rPr>
          <w:rFonts w:ascii="Cambria" w:hAnsi="Cambria"/>
        </w:rPr>
      </w:pPr>
      <w:r>
        <w:rPr>
          <w:rFonts w:ascii="Cambria" w:hAnsi="Cambria"/>
        </w:rPr>
        <w:t>A successful undergraduate transition to DQP would serve as a model if graduate program leaders wanted to align their programs to DQP.</w:t>
      </w:r>
    </w:p>
    <w:p w14:paraId="4C7327A4" w14:textId="77777777" w:rsidR="00C82B7B" w:rsidRDefault="00C82B7B" w:rsidP="00C82B7B">
      <w:pPr>
        <w:pStyle w:val="ListParagraph"/>
        <w:numPr>
          <w:ilvl w:val="0"/>
          <w:numId w:val="8"/>
        </w:numPr>
        <w:rPr>
          <w:rFonts w:ascii="Cambria" w:hAnsi="Cambria"/>
        </w:rPr>
      </w:pPr>
      <w:r>
        <w:rPr>
          <w:rFonts w:ascii="Cambria" w:hAnsi="Cambria"/>
        </w:rPr>
        <w:t>Including associate degrees in the Committee’s final recommendations was discussed.</w:t>
      </w:r>
    </w:p>
    <w:p w14:paraId="4BB250AE" w14:textId="297A7699" w:rsidR="003E2AB0" w:rsidRDefault="003E2AB0" w:rsidP="009651FE">
      <w:pPr>
        <w:pStyle w:val="ListParagraph"/>
        <w:numPr>
          <w:ilvl w:val="0"/>
          <w:numId w:val="8"/>
        </w:numPr>
        <w:rPr>
          <w:rFonts w:ascii="Cambria" w:hAnsi="Cambria"/>
        </w:rPr>
      </w:pPr>
      <w:r>
        <w:rPr>
          <w:rFonts w:ascii="Cambria" w:hAnsi="Cambria"/>
        </w:rPr>
        <w:t xml:space="preserve">Must strike the balance between flexibility vs. challenging students to get out of their comfort zones by taking courses across </w:t>
      </w:r>
      <w:r w:rsidR="00C82B7B">
        <w:rPr>
          <w:rFonts w:ascii="Cambria" w:hAnsi="Cambria"/>
        </w:rPr>
        <w:t>various colleges.  Must balance depth (of a single discipline) with breadth (as seen in learning outcomes).</w:t>
      </w:r>
    </w:p>
    <w:p w14:paraId="23CABD70" w14:textId="1AF35D4E" w:rsidR="00C82B7B" w:rsidRPr="00865C10" w:rsidRDefault="00C82B7B" w:rsidP="000243F6">
      <w:pPr>
        <w:pStyle w:val="ListParagraph"/>
        <w:numPr>
          <w:ilvl w:val="0"/>
          <w:numId w:val="8"/>
        </w:numPr>
        <w:rPr>
          <w:rFonts w:ascii="Cambria" w:hAnsi="Cambria"/>
        </w:rPr>
      </w:pPr>
      <w:r>
        <w:rPr>
          <w:rFonts w:ascii="Cambria" w:hAnsi="Cambria"/>
        </w:rPr>
        <w:t xml:space="preserve">Chairperson Rackaway thanked the ad hoc committee members, Dr. Patrick, Ms. </w:t>
      </w:r>
      <w:proofErr w:type="spellStart"/>
      <w:r>
        <w:rPr>
          <w:rFonts w:ascii="Cambria" w:hAnsi="Cambria"/>
        </w:rPr>
        <w:t>Heronemus</w:t>
      </w:r>
      <w:proofErr w:type="spellEnd"/>
      <w:r>
        <w:rPr>
          <w:rFonts w:ascii="Cambria" w:hAnsi="Cambria"/>
        </w:rPr>
        <w:t>, and Ms. Hartman, for their work and report.</w:t>
      </w:r>
    </w:p>
    <w:p w14:paraId="6EF73A7A" w14:textId="77777777" w:rsidR="007454DA" w:rsidRDefault="007454DA" w:rsidP="000243F6">
      <w:pPr>
        <w:rPr>
          <w:rFonts w:ascii="Cambria" w:hAnsi="Cambria"/>
          <w:b/>
        </w:rPr>
      </w:pPr>
    </w:p>
    <w:p w14:paraId="5648939F" w14:textId="79E97F44" w:rsidR="000C68EE" w:rsidRDefault="00C82B7B" w:rsidP="000243F6">
      <w:pPr>
        <w:rPr>
          <w:rFonts w:ascii="Cambria" w:hAnsi="Cambria"/>
          <w:b/>
        </w:rPr>
      </w:pPr>
      <w:r>
        <w:rPr>
          <w:rFonts w:ascii="Cambria" w:hAnsi="Cambria"/>
          <w:b/>
        </w:rPr>
        <w:t>Agenda Item 4</w:t>
      </w:r>
      <w:r w:rsidR="00F05571">
        <w:rPr>
          <w:rFonts w:ascii="Cambria" w:hAnsi="Cambria"/>
          <w:b/>
        </w:rPr>
        <w:t>:</w:t>
      </w:r>
      <w:r>
        <w:rPr>
          <w:rFonts w:ascii="Cambria" w:hAnsi="Cambria"/>
          <w:b/>
        </w:rPr>
        <w:t xml:space="preserve"> </w:t>
      </w:r>
      <w:r>
        <w:rPr>
          <w:rFonts w:ascii="Cambria" w:hAnsi="Cambria"/>
        </w:rPr>
        <w:t>Chairperson Rack</w:t>
      </w:r>
      <w:r w:rsidR="001944D1">
        <w:rPr>
          <w:rFonts w:ascii="Cambria" w:hAnsi="Cambria"/>
        </w:rPr>
        <w:t>away proposed a 3-phase strategic structure for enacting the Liberal Education Review</w:t>
      </w:r>
      <w:r w:rsidR="001944D1">
        <w:rPr>
          <w:rFonts w:ascii="Cambria" w:hAnsi="Cambria"/>
          <w:b/>
        </w:rPr>
        <w:t>:</w:t>
      </w:r>
    </w:p>
    <w:p w14:paraId="6A2D8CE3" w14:textId="64D04D2B" w:rsidR="001944D1" w:rsidRDefault="001944D1" w:rsidP="001944D1">
      <w:pPr>
        <w:pStyle w:val="ListParagraph"/>
        <w:numPr>
          <w:ilvl w:val="0"/>
          <w:numId w:val="9"/>
        </w:numPr>
        <w:rPr>
          <w:rFonts w:ascii="Cambria" w:hAnsi="Cambria"/>
        </w:rPr>
      </w:pPr>
      <w:r>
        <w:rPr>
          <w:rFonts w:ascii="Cambria" w:hAnsi="Cambria"/>
        </w:rPr>
        <w:t>Develop Learning Outcomes – will need a great deal of input from across campus</w:t>
      </w:r>
    </w:p>
    <w:p w14:paraId="6437A79F" w14:textId="78BCCEEB" w:rsidR="001944D1" w:rsidRDefault="001944D1" w:rsidP="001944D1">
      <w:pPr>
        <w:pStyle w:val="ListParagraph"/>
        <w:numPr>
          <w:ilvl w:val="0"/>
          <w:numId w:val="9"/>
        </w:numPr>
        <w:rPr>
          <w:rFonts w:ascii="Cambria" w:hAnsi="Cambria"/>
        </w:rPr>
      </w:pPr>
      <w:r>
        <w:rPr>
          <w:rFonts w:ascii="Cambria" w:hAnsi="Cambria"/>
        </w:rPr>
        <w:t>Develop Assessments – at the department and program levels</w:t>
      </w:r>
    </w:p>
    <w:p w14:paraId="70BC0947" w14:textId="03B7AE16" w:rsidR="001944D1" w:rsidRDefault="001944D1" w:rsidP="001944D1">
      <w:pPr>
        <w:pStyle w:val="ListParagraph"/>
        <w:numPr>
          <w:ilvl w:val="0"/>
          <w:numId w:val="9"/>
        </w:numPr>
        <w:rPr>
          <w:rFonts w:ascii="Cambria" w:hAnsi="Cambria"/>
        </w:rPr>
      </w:pPr>
      <w:r>
        <w:rPr>
          <w:rFonts w:ascii="Cambria" w:hAnsi="Cambria"/>
        </w:rPr>
        <w:t xml:space="preserve">Develop Curriculum Plan / Course Schedule </w:t>
      </w:r>
    </w:p>
    <w:p w14:paraId="7E5AFD63" w14:textId="6B0BFE13" w:rsidR="001944D1" w:rsidRDefault="001944D1" w:rsidP="001944D1">
      <w:pPr>
        <w:rPr>
          <w:rFonts w:ascii="Cambria" w:hAnsi="Cambria"/>
        </w:rPr>
      </w:pPr>
      <w:r>
        <w:rPr>
          <w:rFonts w:ascii="Cambria" w:hAnsi="Cambria"/>
        </w:rPr>
        <w:lastRenderedPageBreak/>
        <w:t>Discussion about this topic included the following points:</w:t>
      </w:r>
    </w:p>
    <w:p w14:paraId="112C497D" w14:textId="59EA500A" w:rsidR="001944D1" w:rsidRDefault="001944D1" w:rsidP="001944D1">
      <w:pPr>
        <w:pStyle w:val="ListParagraph"/>
        <w:numPr>
          <w:ilvl w:val="0"/>
          <w:numId w:val="10"/>
        </w:numPr>
        <w:rPr>
          <w:rFonts w:ascii="Cambria" w:hAnsi="Cambria"/>
        </w:rPr>
      </w:pPr>
      <w:r>
        <w:rPr>
          <w:rFonts w:ascii="Cambria" w:hAnsi="Cambria"/>
        </w:rPr>
        <w:t>Student Credit Hours (SCH) have historically been the predominate measure of student success and achievement.  SCHs translate into enrollment in certain courses, and a reduction in SCHs could be an existential threat to some departments or faculty lines.</w:t>
      </w:r>
    </w:p>
    <w:p w14:paraId="1ED95DB5" w14:textId="7F298B77" w:rsidR="002D5A4D" w:rsidRDefault="00865C10" w:rsidP="001944D1">
      <w:pPr>
        <w:pStyle w:val="ListParagraph"/>
        <w:numPr>
          <w:ilvl w:val="0"/>
          <w:numId w:val="10"/>
        </w:numPr>
        <w:rPr>
          <w:rFonts w:ascii="Cambria" w:hAnsi="Cambria"/>
        </w:rPr>
      </w:pPr>
      <w:r>
        <w:rPr>
          <w:rFonts w:ascii="Cambria" w:hAnsi="Cambria"/>
          <w:noProof/>
        </w:rPr>
        <w:drawing>
          <wp:anchor distT="0" distB="0" distL="114300" distR="114300" simplePos="0" relativeHeight="251658240" behindDoc="0" locked="0" layoutInCell="1" allowOverlap="1" wp14:anchorId="7C96D79A" wp14:editId="05A2C6ED">
            <wp:simplePos x="0" y="0"/>
            <wp:positionH relativeFrom="column">
              <wp:posOffset>1539240</wp:posOffset>
            </wp:positionH>
            <wp:positionV relativeFrom="paragraph">
              <wp:posOffset>800100</wp:posOffset>
            </wp:positionV>
            <wp:extent cx="3024505" cy="1254125"/>
            <wp:effectExtent l="0" t="0" r="0" b="22225"/>
            <wp:wrapTight wrapText="bothSides">
              <wp:wrapPolygon edited="0">
                <wp:start x="8571" y="0"/>
                <wp:lineTo x="8435" y="5250"/>
                <wp:lineTo x="7483" y="6562"/>
                <wp:lineTo x="6938" y="8531"/>
                <wp:lineTo x="6938" y="10499"/>
                <wp:lineTo x="5714" y="12796"/>
                <wp:lineTo x="5442" y="13452"/>
                <wp:lineTo x="5442" y="18702"/>
                <wp:lineTo x="7211" y="20998"/>
                <wp:lineTo x="9932" y="21655"/>
                <wp:lineTo x="10612" y="21655"/>
                <wp:lineTo x="14013" y="20998"/>
                <wp:lineTo x="16190" y="19030"/>
                <wp:lineTo x="15918" y="13124"/>
                <wp:lineTo x="13469" y="5578"/>
                <wp:lineTo x="12925" y="0"/>
                <wp:lineTo x="8571"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1944D1">
        <w:rPr>
          <w:rFonts w:ascii="Cambria" w:hAnsi="Cambria"/>
        </w:rPr>
        <w:t xml:space="preserve">Should development of curriculum come prior to development of assessments?  The 3-step process outlined is supported by research, </w:t>
      </w:r>
      <w:r w:rsidR="002D5A4D">
        <w:rPr>
          <w:rFonts w:ascii="Cambria" w:hAnsi="Cambria"/>
        </w:rPr>
        <w:t>with “assessments”</w:t>
      </w:r>
      <w:r w:rsidR="001944D1">
        <w:rPr>
          <w:rFonts w:ascii="Cambria" w:hAnsi="Cambria"/>
        </w:rPr>
        <w:t xml:space="preserve"> considered in terms of “W</w:t>
      </w:r>
      <w:r w:rsidR="002D5A4D">
        <w:rPr>
          <w:rFonts w:ascii="Cambria" w:hAnsi="Cambria"/>
        </w:rPr>
        <w:t>hat is the</w:t>
      </w:r>
      <w:r w:rsidR="001944D1">
        <w:rPr>
          <w:rFonts w:ascii="Cambria" w:hAnsi="Cambria"/>
        </w:rPr>
        <w:t xml:space="preserve"> evidence the learning goal is achieved?” This, in turn, drives the curriculum development.</w:t>
      </w:r>
      <w:r w:rsidR="002D5A4D">
        <w:rPr>
          <w:rFonts w:ascii="Cambria" w:hAnsi="Cambria"/>
        </w:rPr>
        <w:t xml:space="preserve">  In reality, it </w:t>
      </w:r>
      <w:r>
        <w:rPr>
          <w:rFonts w:ascii="Cambria" w:hAnsi="Cambria"/>
        </w:rPr>
        <w:t>was recognized as</w:t>
      </w:r>
      <w:r w:rsidR="002D5A4D">
        <w:rPr>
          <w:rFonts w:ascii="Cambria" w:hAnsi="Cambria"/>
        </w:rPr>
        <w:t xml:space="preserve"> an iterative or spiraling process.</w:t>
      </w:r>
    </w:p>
    <w:p w14:paraId="380180A6" w14:textId="7DFD72C9" w:rsidR="002D5A4D" w:rsidRDefault="002D5A4D" w:rsidP="002D5A4D">
      <w:pPr>
        <w:rPr>
          <w:rFonts w:ascii="Cambria" w:hAnsi="Cambria"/>
        </w:rPr>
      </w:pPr>
    </w:p>
    <w:p w14:paraId="2CB13EF1" w14:textId="20577434" w:rsidR="002D5A4D" w:rsidRDefault="002D5A4D" w:rsidP="002D5A4D">
      <w:pPr>
        <w:rPr>
          <w:rFonts w:ascii="Cambria" w:hAnsi="Cambria"/>
        </w:rPr>
      </w:pPr>
    </w:p>
    <w:p w14:paraId="26C866D7" w14:textId="77777777" w:rsidR="002D5A4D" w:rsidRDefault="002D5A4D" w:rsidP="002D5A4D">
      <w:pPr>
        <w:rPr>
          <w:rFonts w:ascii="Cambria" w:hAnsi="Cambria"/>
        </w:rPr>
      </w:pPr>
    </w:p>
    <w:p w14:paraId="711DFDED" w14:textId="77777777" w:rsidR="002D5A4D" w:rsidRDefault="002D5A4D" w:rsidP="002D5A4D">
      <w:pPr>
        <w:rPr>
          <w:rFonts w:ascii="Cambria" w:hAnsi="Cambria"/>
        </w:rPr>
      </w:pPr>
    </w:p>
    <w:p w14:paraId="6A9CA172" w14:textId="77777777" w:rsidR="002D5A4D" w:rsidRDefault="002D5A4D" w:rsidP="002D5A4D">
      <w:pPr>
        <w:rPr>
          <w:rFonts w:ascii="Cambria" w:hAnsi="Cambria"/>
        </w:rPr>
      </w:pPr>
    </w:p>
    <w:p w14:paraId="132E2DED" w14:textId="77777777" w:rsidR="002D5A4D" w:rsidRDefault="002D5A4D" w:rsidP="002D5A4D">
      <w:pPr>
        <w:rPr>
          <w:rFonts w:ascii="Cambria" w:hAnsi="Cambria"/>
        </w:rPr>
      </w:pPr>
    </w:p>
    <w:p w14:paraId="6DA486FB" w14:textId="77777777" w:rsidR="002D5A4D" w:rsidRDefault="002D5A4D" w:rsidP="002D5A4D">
      <w:pPr>
        <w:rPr>
          <w:rFonts w:ascii="Cambria" w:hAnsi="Cambria"/>
        </w:rPr>
      </w:pPr>
    </w:p>
    <w:p w14:paraId="725D8C41" w14:textId="3ABBA66A" w:rsidR="002D5A4D" w:rsidRDefault="002D5A4D" w:rsidP="002D5A4D">
      <w:pPr>
        <w:pStyle w:val="ListParagraph"/>
        <w:numPr>
          <w:ilvl w:val="0"/>
          <w:numId w:val="11"/>
        </w:numPr>
        <w:rPr>
          <w:rFonts w:ascii="Cambria" w:hAnsi="Cambria"/>
        </w:rPr>
      </w:pPr>
      <w:r>
        <w:rPr>
          <w:rFonts w:ascii="Cambria" w:hAnsi="Cambria"/>
        </w:rPr>
        <w:t xml:space="preserve">Data from last year’s General Education meetings for re-examining the </w:t>
      </w:r>
      <w:proofErr w:type="spellStart"/>
      <w:r>
        <w:rPr>
          <w:rFonts w:ascii="Cambria" w:hAnsi="Cambria"/>
        </w:rPr>
        <w:t>GenEd</w:t>
      </w:r>
      <w:proofErr w:type="spellEnd"/>
      <w:r>
        <w:rPr>
          <w:rFonts w:ascii="Cambria" w:hAnsi="Cambria"/>
        </w:rPr>
        <w:t xml:space="preserve"> program could be valuable, at least to inform us of this input as we move forward.  Chairperson Rackaway will post these data in our document repository.</w:t>
      </w:r>
    </w:p>
    <w:p w14:paraId="3FEFAFFB" w14:textId="4A7AD6F3" w:rsidR="002D5A4D" w:rsidRDefault="00A07DFB" w:rsidP="002D5A4D">
      <w:pPr>
        <w:pStyle w:val="ListParagraph"/>
        <w:numPr>
          <w:ilvl w:val="0"/>
          <w:numId w:val="11"/>
        </w:numPr>
        <w:rPr>
          <w:rFonts w:ascii="Cambria" w:hAnsi="Cambria"/>
        </w:rPr>
      </w:pPr>
      <w:r>
        <w:rPr>
          <w:rFonts w:ascii="Cambria" w:hAnsi="Cambria"/>
        </w:rPr>
        <w:t>Time frame was discussed.  New Liberal Education program s</w:t>
      </w:r>
      <w:r w:rsidR="002D5A4D">
        <w:rPr>
          <w:rFonts w:ascii="Cambria" w:hAnsi="Cambria"/>
        </w:rPr>
        <w:t>hould be ready to implement in Fall 2017.  Due to spring Freshman Enrollment, this means it should be ready by Spring 2017.</w:t>
      </w:r>
    </w:p>
    <w:p w14:paraId="39540C6F" w14:textId="5E0456B3" w:rsidR="000C68EE" w:rsidRPr="007454DA" w:rsidRDefault="002D5A4D" w:rsidP="000C68EE">
      <w:pPr>
        <w:pStyle w:val="ListParagraph"/>
        <w:numPr>
          <w:ilvl w:val="0"/>
          <w:numId w:val="11"/>
        </w:numPr>
        <w:rPr>
          <w:rFonts w:ascii="Cambria" w:hAnsi="Cambria"/>
        </w:rPr>
      </w:pPr>
      <w:r>
        <w:rPr>
          <w:rFonts w:ascii="Cambria" w:hAnsi="Cambria"/>
        </w:rPr>
        <w:t>The LEA</w:t>
      </w:r>
      <w:bookmarkStart w:id="0" w:name="_GoBack"/>
      <w:bookmarkEnd w:id="0"/>
      <w:r>
        <w:rPr>
          <w:rFonts w:ascii="Cambria" w:hAnsi="Cambria"/>
        </w:rPr>
        <w:t xml:space="preserve">P assessment rubrics from AAC&amp;U could be valuable DQP-friendly instruments that could be adapted. </w:t>
      </w:r>
    </w:p>
    <w:p w14:paraId="4AE9710F" w14:textId="77777777" w:rsidR="002D5A4D" w:rsidRDefault="002D5A4D" w:rsidP="000C68EE">
      <w:pPr>
        <w:rPr>
          <w:rFonts w:ascii="Cambria" w:hAnsi="Cambria"/>
          <w:b/>
        </w:rPr>
      </w:pPr>
    </w:p>
    <w:p w14:paraId="7E1BECCC" w14:textId="6B5A6B2D" w:rsidR="007454DA" w:rsidRPr="007454DA" w:rsidRDefault="002D5A4D" w:rsidP="007454DA">
      <w:pPr>
        <w:rPr>
          <w:rFonts w:ascii="Cambria" w:hAnsi="Cambria"/>
          <w:b/>
        </w:rPr>
      </w:pPr>
      <w:r w:rsidRPr="007454DA">
        <w:rPr>
          <w:rFonts w:ascii="Cambria" w:hAnsi="Cambria"/>
          <w:b/>
        </w:rPr>
        <w:t>DECISION</w:t>
      </w:r>
      <w:r w:rsidR="007454DA">
        <w:rPr>
          <w:rFonts w:ascii="Cambria" w:hAnsi="Cambria"/>
          <w:b/>
        </w:rPr>
        <w:t>S</w:t>
      </w:r>
      <w:r w:rsidRPr="007454DA">
        <w:rPr>
          <w:rFonts w:ascii="Cambria" w:hAnsi="Cambria"/>
          <w:b/>
        </w:rPr>
        <w:t xml:space="preserve">:  The </w:t>
      </w:r>
      <w:r w:rsidR="007454DA" w:rsidRPr="007454DA">
        <w:rPr>
          <w:rFonts w:ascii="Cambria" w:hAnsi="Cambria"/>
          <w:b/>
        </w:rPr>
        <w:t>Liberal Education Committee</w:t>
      </w:r>
      <w:r w:rsidRPr="007454DA">
        <w:rPr>
          <w:rFonts w:ascii="Cambria" w:hAnsi="Cambria"/>
          <w:b/>
        </w:rPr>
        <w:t xml:space="preserve"> agreed </w:t>
      </w:r>
      <w:r w:rsidR="007454DA" w:rsidRPr="007454DA">
        <w:rPr>
          <w:rFonts w:ascii="Cambria" w:hAnsi="Cambria"/>
          <w:b/>
        </w:rPr>
        <w:t>through consensus to:</w:t>
      </w:r>
      <w:r w:rsidRPr="007454DA">
        <w:rPr>
          <w:rFonts w:ascii="Cambria" w:hAnsi="Cambria"/>
          <w:b/>
        </w:rPr>
        <w:t xml:space="preserve"> </w:t>
      </w:r>
    </w:p>
    <w:p w14:paraId="3830B72B" w14:textId="6E37BA1D" w:rsidR="002D5A4D" w:rsidRPr="007454DA" w:rsidRDefault="007454DA" w:rsidP="007454DA">
      <w:pPr>
        <w:pStyle w:val="ListParagraph"/>
        <w:numPr>
          <w:ilvl w:val="0"/>
          <w:numId w:val="12"/>
        </w:numPr>
        <w:rPr>
          <w:rFonts w:ascii="Cambria" w:hAnsi="Cambria"/>
          <w:b/>
        </w:rPr>
      </w:pPr>
      <w:r w:rsidRPr="007454DA">
        <w:rPr>
          <w:rFonts w:ascii="Cambria" w:hAnsi="Cambria"/>
          <w:b/>
        </w:rPr>
        <w:t xml:space="preserve">Focus </w:t>
      </w:r>
      <w:r w:rsidR="002D5A4D" w:rsidRPr="007454DA">
        <w:rPr>
          <w:rFonts w:ascii="Cambria" w:hAnsi="Cambria"/>
          <w:b/>
        </w:rPr>
        <w:t xml:space="preserve">on the </w:t>
      </w:r>
      <w:r w:rsidRPr="007454DA">
        <w:rPr>
          <w:rFonts w:ascii="Cambria" w:hAnsi="Cambria"/>
          <w:b/>
        </w:rPr>
        <w:t>b</w:t>
      </w:r>
      <w:r w:rsidR="002D5A4D" w:rsidRPr="007454DA">
        <w:rPr>
          <w:rFonts w:ascii="Cambria" w:hAnsi="Cambria"/>
          <w:b/>
        </w:rPr>
        <w:t>accalaureate</w:t>
      </w:r>
      <w:r w:rsidRPr="007454DA">
        <w:rPr>
          <w:rFonts w:ascii="Cambria" w:hAnsi="Cambria"/>
          <w:b/>
        </w:rPr>
        <w:t xml:space="preserve"> level only, not graduate or associate levels;</w:t>
      </w:r>
    </w:p>
    <w:p w14:paraId="7B6F0C4C" w14:textId="411D9A71" w:rsidR="007454DA" w:rsidRPr="007454DA" w:rsidRDefault="007454DA" w:rsidP="007454DA">
      <w:pPr>
        <w:pStyle w:val="ListParagraph"/>
        <w:numPr>
          <w:ilvl w:val="0"/>
          <w:numId w:val="12"/>
        </w:numPr>
        <w:rPr>
          <w:rFonts w:ascii="Cambria" w:hAnsi="Cambria"/>
          <w:b/>
        </w:rPr>
      </w:pPr>
      <w:r w:rsidRPr="007454DA">
        <w:rPr>
          <w:rFonts w:ascii="Cambria" w:hAnsi="Cambria"/>
          <w:b/>
        </w:rPr>
        <w:t>Adopt the DQP as the template for reviewing and generating recommendations for FHSU’s Liberal Education program; and</w:t>
      </w:r>
    </w:p>
    <w:p w14:paraId="13DDDABF" w14:textId="27BABEB7" w:rsidR="007454DA" w:rsidRPr="007454DA" w:rsidRDefault="007454DA" w:rsidP="007454DA">
      <w:pPr>
        <w:pStyle w:val="ListParagraph"/>
        <w:numPr>
          <w:ilvl w:val="0"/>
          <w:numId w:val="12"/>
        </w:numPr>
        <w:rPr>
          <w:rFonts w:ascii="Cambria" w:hAnsi="Cambria"/>
          <w:b/>
        </w:rPr>
      </w:pPr>
      <w:r w:rsidRPr="007454DA">
        <w:rPr>
          <w:rFonts w:ascii="Cambria" w:hAnsi="Cambria"/>
          <w:b/>
        </w:rPr>
        <w:t>The 3-phase strategic structure will be used in this process, starting with a focus on learning objectives.</w:t>
      </w:r>
    </w:p>
    <w:p w14:paraId="78A31C3F" w14:textId="77777777" w:rsidR="002D5A4D" w:rsidRDefault="002D5A4D" w:rsidP="000C68EE">
      <w:pPr>
        <w:rPr>
          <w:rFonts w:ascii="Cambria" w:hAnsi="Cambria"/>
          <w:b/>
        </w:rPr>
      </w:pPr>
    </w:p>
    <w:p w14:paraId="318386A9" w14:textId="77777777" w:rsidR="007454DA" w:rsidRDefault="007454DA" w:rsidP="000C68EE">
      <w:pPr>
        <w:rPr>
          <w:rFonts w:ascii="Cambria" w:hAnsi="Cambria"/>
          <w:b/>
        </w:rPr>
      </w:pPr>
      <w:r>
        <w:rPr>
          <w:rFonts w:ascii="Cambria" w:hAnsi="Cambria"/>
          <w:b/>
        </w:rPr>
        <w:t xml:space="preserve">Announcements:  </w:t>
      </w:r>
    </w:p>
    <w:p w14:paraId="423327E8" w14:textId="6E117885" w:rsidR="007454DA" w:rsidRDefault="007454DA" w:rsidP="007454DA">
      <w:pPr>
        <w:pStyle w:val="ListParagraph"/>
        <w:numPr>
          <w:ilvl w:val="0"/>
          <w:numId w:val="13"/>
        </w:numPr>
        <w:rPr>
          <w:rFonts w:ascii="Cambria" w:hAnsi="Cambria"/>
        </w:rPr>
      </w:pPr>
      <w:r w:rsidRPr="007454DA">
        <w:rPr>
          <w:rFonts w:ascii="Cambria" w:hAnsi="Cambria"/>
        </w:rPr>
        <w:t xml:space="preserve">Chairperson </w:t>
      </w:r>
      <w:r>
        <w:rPr>
          <w:rFonts w:ascii="Cambria" w:hAnsi="Cambria"/>
        </w:rPr>
        <w:t>Rackaway will provide important documents for committee members to read, including a draft of the Liberal Education Plan, in an online repository, details to be communicated via e-mail.</w:t>
      </w:r>
    </w:p>
    <w:p w14:paraId="313C1F57" w14:textId="77777777" w:rsidR="007454DA" w:rsidRDefault="007454DA" w:rsidP="007454DA">
      <w:pPr>
        <w:pStyle w:val="ListParagraph"/>
        <w:numPr>
          <w:ilvl w:val="0"/>
          <w:numId w:val="13"/>
        </w:numPr>
        <w:rPr>
          <w:rFonts w:ascii="Cambria" w:hAnsi="Cambria"/>
        </w:rPr>
      </w:pPr>
      <w:r>
        <w:rPr>
          <w:rFonts w:ascii="Cambria" w:hAnsi="Cambria"/>
        </w:rPr>
        <w:t xml:space="preserve">Next meetings:  </w:t>
      </w:r>
    </w:p>
    <w:p w14:paraId="3F03F613" w14:textId="6A8B1895" w:rsidR="007454DA" w:rsidRPr="007454DA" w:rsidRDefault="007454DA" w:rsidP="007454DA">
      <w:pPr>
        <w:pStyle w:val="ListParagraph"/>
        <w:numPr>
          <w:ilvl w:val="1"/>
          <w:numId w:val="13"/>
        </w:numPr>
        <w:rPr>
          <w:rFonts w:ascii="Cambria" w:hAnsi="Cambria"/>
          <w:b/>
        </w:rPr>
      </w:pPr>
      <w:r w:rsidRPr="007454DA">
        <w:rPr>
          <w:rFonts w:ascii="Cambria" w:hAnsi="Cambria"/>
          <w:b/>
        </w:rPr>
        <w:t xml:space="preserve">Thursday, September 24, 3:00 p.m., </w:t>
      </w:r>
      <w:proofErr w:type="spellStart"/>
      <w:r w:rsidRPr="007454DA">
        <w:rPr>
          <w:rFonts w:ascii="Cambria" w:hAnsi="Cambria"/>
          <w:b/>
        </w:rPr>
        <w:t>Rarick</w:t>
      </w:r>
      <w:proofErr w:type="spellEnd"/>
      <w:r w:rsidRPr="007454DA">
        <w:rPr>
          <w:rFonts w:ascii="Cambria" w:hAnsi="Cambria"/>
          <w:b/>
        </w:rPr>
        <w:t xml:space="preserve"> Hall 312</w:t>
      </w:r>
    </w:p>
    <w:p w14:paraId="753AED02" w14:textId="70A3609B" w:rsidR="007454DA" w:rsidRPr="007454DA" w:rsidRDefault="007454DA" w:rsidP="007454DA">
      <w:pPr>
        <w:pStyle w:val="ListParagraph"/>
        <w:numPr>
          <w:ilvl w:val="1"/>
          <w:numId w:val="13"/>
        </w:numPr>
        <w:rPr>
          <w:rFonts w:ascii="Cambria" w:hAnsi="Cambria"/>
          <w:b/>
        </w:rPr>
      </w:pPr>
      <w:r w:rsidRPr="007454DA">
        <w:rPr>
          <w:rFonts w:ascii="Cambria" w:hAnsi="Cambria"/>
          <w:b/>
        </w:rPr>
        <w:t>Tuesday, September 29, 3:00 p.m., location TBA</w:t>
      </w:r>
    </w:p>
    <w:p w14:paraId="40076334" w14:textId="77777777" w:rsidR="00020315" w:rsidRDefault="00020315" w:rsidP="000C68EE">
      <w:pPr>
        <w:rPr>
          <w:rFonts w:ascii="Cambria" w:hAnsi="Cambria"/>
          <w:b/>
        </w:rPr>
      </w:pPr>
    </w:p>
    <w:p w14:paraId="7675A2EB" w14:textId="056AEC95" w:rsidR="00020315" w:rsidRDefault="000C247F" w:rsidP="000C68EE">
      <w:pPr>
        <w:rPr>
          <w:rFonts w:ascii="Cambria" w:hAnsi="Cambria"/>
          <w:b/>
        </w:rPr>
      </w:pPr>
      <w:r>
        <w:rPr>
          <w:rFonts w:ascii="Cambria" w:hAnsi="Cambria"/>
          <w:b/>
        </w:rPr>
        <w:t>The meeting was</w:t>
      </w:r>
      <w:r w:rsidR="007454DA">
        <w:rPr>
          <w:rFonts w:ascii="Cambria" w:hAnsi="Cambria"/>
          <w:b/>
        </w:rPr>
        <w:t xml:space="preserve"> adjourned at 4:38</w:t>
      </w:r>
      <w:r w:rsidR="00020315">
        <w:rPr>
          <w:rFonts w:ascii="Cambria" w:hAnsi="Cambria"/>
          <w:b/>
        </w:rPr>
        <w:t xml:space="preserve"> p.m.</w:t>
      </w:r>
    </w:p>
    <w:p w14:paraId="19F81A31" w14:textId="77777777" w:rsidR="00020315" w:rsidRDefault="00020315" w:rsidP="000C68EE">
      <w:pPr>
        <w:rPr>
          <w:rFonts w:ascii="Cambria" w:hAnsi="Cambria"/>
          <w:b/>
        </w:rPr>
      </w:pPr>
    </w:p>
    <w:p w14:paraId="5E11975A" w14:textId="77777777" w:rsidR="00020315" w:rsidRPr="00020315" w:rsidRDefault="00020315" w:rsidP="000C68EE">
      <w:pPr>
        <w:rPr>
          <w:rFonts w:ascii="Cambria" w:hAnsi="Cambria"/>
          <w:b/>
        </w:rPr>
      </w:pPr>
    </w:p>
    <w:p w14:paraId="5DBE4692" w14:textId="659508EF" w:rsidR="00135D4F" w:rsidRPr="00135D4F" w:rsidRDefault="00020315" w:rsidP="00135D4F">
      <w:pPr>
        <w:rPr>
          <w:rFonts w:ascii="Cambria" w:hAnsi="Cambria"/>
        </w:rPr>
      </w:pPr>
      <w:r>
        <w:rPr>
          <w:rFonts w:ascii="Cambria" w:hAnsi="Cambria"/>
        </w:rPr>
        <w:t>Respectfully submitted by Teresa M. Woods, Secretary.</w:t>
      </w:r>
      <w:r w:rsidR="00F05571">
        <w:rPr>
          <w:rFonts w:ascii="Cambria" w:hAnsi="Cambria"/>
        </w:rPr>
        <w:tab/>
      </w:r>
    </w:p>
    <w:sectPr w:rsidR="00135D4F" w:rsidRPr="00135D4F" w:rsidSect="00F97B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4939" w14:textId="77777777" w:rsidR="007A6E5A" w:rsidRDefault="007A6E5A" w:rsidP="000C247F">
      <w:r>
        <w:separator/>
      </w:r>
    </w:p>
  </w:endnote>
  <w:endnote w:type="continuationSeparator" w:id="0">
    <w:p w14:paraId="3734E076" w14:textId="77777777" w:rsidR="007A6E5A" w:rsidRDefault="007A6E5A" w:rsidP="000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71DC" w14:textId="77777777" w:rsidR="000C247F" w:rsidRDefault="000C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F4F7" w14:textId="77777777" w:rsidR="000C247F" w:rsidRDefault="000C2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0E9A" w14:textId="77777777" w:rsidR="000C247F" w:rsidRDefault="000C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DE76A" w14:textId="77777777" w:rsidR="007A6E5A" w:rsidRDefault="007A6E5A" w:rsidP="000C247F">
      <w:r>
        <w:separator/>
      </w:r>
    </w:p>
  </w:footnote>
  <w:footnote w:type="continuationSeparator" w:id="0">
    <w:p w14:paraId="470FA99F" w14:textId="77777777" w:rsidR="007A6E5A" w:rsidRDefault="007A6E5A" w:rsidP="000C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47F5" w14:textId="56325DD3" w:rsidR="000C247F" w:rsidRDefault="004B43C2">
    <w:pPr>
      <w:pStyle w:val="Header"/>
    </w:pPr>
    <w:r>
      <w:rPr>
        <w:noProof/>
      </w:rPr>
      <w:pict w14:anchorId="14673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E513" w14:textId="65B57661" w:rsidR="000C247F" w:rsidRDefault="004B43C2">
    <w:pPr>
      <w:pStyle w:val="Header"/>
    </w:pPr>
    <w:r>
      <w:rPr>
        <w:noProof/>
      </w:rPr>
      <w:pict w14:anchorId="69225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A898" w14:textId="30D59D43" w:rsidR="000C247F" w:rsidRDefault="004B43C2">
    <w:pPr>
      <w:pStyle w:val="Header"/>
    </w:pPr>
    <w:r>
      <w:rPr>
        <w:noProof/>
      </w:rPr>
      <w:pict w14:anchorId="45BAF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342"/>
    <w:multiLevelType w:val="hybridMultilevel"/>
    <w:tmpl w:val="B33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60D"/>
    <w:multiLevelType w:val="hybridMultilevel"/>
    <w:tmpl w:val="CFDE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6B93"/>
    <w:multiLevelType w:val="hybridMultilevel"/>
    <w:tmpl w:val="444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4A51"/>
    <w:multiLevelType w:val="hybridMultilevel"/>
    <w:tmpl w:val="F9F02968"/>
    <w:lvl w:ilvl="0" w:tplc="F9245F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63067"/>
    <w:multiLevelType w:val="hybridMultilevel"/>
    <w:tmpl w:val="5EAA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1E20"/>
    <w:multiLevelType w:val="hybridMultilevel"/>
    <w:tmpl w:val="E67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12DC5"/>
    <w:multiLevelType w:val="hybridMultilevel"/>
    <w:tmpl w:val="3F3C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211005"/>
    <w:multiLevelType w:val="hybridMultilevel"/>
    <w:tmpl w:val="D1EAB6F0"/>
    <w:lvl w:ilvl="0" w:tplc="DB0284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579EF"/>
    <w:multiLevelType w:val="hybridMultilevel"/>
    <w:tmpl w:val="5BCAD340"/>
    <w:lvl w:ilvl="0" w:tplc="4D78825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E300A"/>
    <w:multiLevelType w:val="hybridMultilevel"/>
    <w:tmpl w:val="593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0D13"/>
    <w:multiLevelType w:val="hybridMultilevel"/>
    <w:tmpl w:val="1FF8B82E"/>
    <w:lvl w:ilvl="0" w:tplc="466ACEB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9C68F2"/>
    <w:multiLevelType w:val="hybridMultilevel"/>
    <w:tmpl w:val="BCF2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A6089"/>
    <w:multiLevelType w:val="hybridMultilevel"/>
    <w:tmpl w:val="48486728"/>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3"/>
  </w:num>
  <w:num w:numId="4">
    <w:abstractNumId w:val="7"/>
  </w:num>
  <w:num w:numId="5">
    <w:abstractNumId w:val="10"/>
  </w:num>
  <w:num w:numId="6">
    <w:abstractNumId w:val="4"/>
  </w:num>
  <w:num w:numId="7">
    <w:abstractNumId w:val="8"/>
  </w:num>
  <w:num w:numId="8">
    <w:abstractNumId w:val="6"/>
  </w:num>
  <w:num w:numId="9">
    <w:abstractNumId w:val="12"/>
  </w:num>
  <w:num w:numId="10">
    <w:abstractNumId w:val="9"/>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F"/>
    <w:rsid w:val="00020315"/>
    <w:rsid w:val="000243F6"/>
    <w:rsid w:val="000C247F"/>
    <w:rsid w:val="000C68EE"/>
    <w:rsid w:val="000F008B"/>
    <w:rsid w:val="00135D4F"/>
    <w:rsid w:val="00187966"/>
    <w:rsid w:val="001944D1"/>
    <w:rsid w:val="00257714"/>
    <w:rsid w:val="002D5A4D"/>
    <w:rsid w:val="003E2AB0"/>
    <w:rsid w:val="004B43C2"/>
    <w:rsid w:val="006A7052"/>
    <w:rsid w:val="007454DA"/>
    <w:rsid w:val="00761A8A"/>
    <w:rsid w:val="007A6E5A"/>
    <w:rsid w:val="00865C10"/>
    <w:rsid w:val="00915761"/>
    <w:rsid w:val="009651FE"/>
    <w:rsid w:val="00A07DFB"/>
    <w:rsid w:val="00A16855"/>
    <w:rsid w:val="00A87216"/>
    <w:rsid w:val="00BA0FA7"/>
    <w:rsid w:val="00C14E04"/>
    <w:rsid w:val="00C82B7B"/>
    <w:rsid w:val="00D47161"/>
    <w:rsid w:val="00D90560"/>
    <w:rsid w:val="00E50123"/>
    <w:rsid w:val="00EC6202"/>
    <w:rsid w:val="00F05571"/>
    <w:rsid w:val="00F9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AA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71"/>
    <w:pPr>
      <w:ind w:left="720"/>
      <w:contextualSpacing/>
    </w:pPr>
  </w:style>
  <w:style w:type="paragraph" w:styleId="Header">
    <w:name w:val="header"/>
    <w:basedOn w:val="Normal"/>
    <w:link w:val="HeaderChar"/>
    <w:uiPriority w:val="99"/>
    <w:unhideWhenUsed/>
    <w:rsid w:val="000C247F"/>
    <w:pPr>
      <w:tabs>
        <w:tab w:val="center" w:pos="4680"/>
        <w:tab w:val="right" w:pos="9360"/>
      </w:tabs>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iPriority w:val="99"/>
    <w:unhideWhenUsed/>
    <w:rsid w:val="000C247F"/>
    <w:pPr>
      <w:tabs>
        <w:tab w:val="center" w:pos="4680"/>
        <w:tab w:val="right" w:pos="9360"/>
      </w:tabs>
    </w:pPr>
  </w:style>
  <w:style w:type="character" w:customStyle="1" w:styleId="FooterChar">
    <w:name w:val="Footer Char"/>
    <w:basedOn w:val="DefaultParagraphFont"/>
    <w:link w:val="Footer"/>
    <w:uiPriority w:val="99"/>
    <w:rsid w:val="000C247F"/>
  </w:style>
  <w:style w:type="character" w:styleId="Hyperlink">
    <w:name w:val="Hyperlink"/>
    <w:basedOn w:val="DefaultParagraphFont"/>
    <w:uiPriority w:val="99"/>
    <w:unhideWhenUsed/>
    <w:rsid w:val="00A16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0DBEA-5068-2A4C-A5A0-27E04BB92084}" type="doc">
      <dgm:prSet loTypeId="urn:microsoft.com/office/officeart/2005/8/layout/cycle5" loCatId="" qsTypeId="urn:microsoft.com/office/officeart/2005/8/quickstyle/simple4" qsCatId="simple" csTypeId="urn:microsoft.com/office/officeart/2005/8/colors/accent1_2" csCatId="accent1" phldr="1"/>
      <dgm:spPr/>
      <dgm:t>
        <a:bodyPr/>
        <a:lstStyle/>
        <a:p>
          <a:endParaRPr lang="en-US"/>
        </a:p>
      </dgm:t>
    </dgm:pt>
    <dgm:pt modelId="{2757E70D-4196-7346-AAE5-260720BA9362}">
      <dgm:prSet phldrT="[Text]"/>
      <dgm:spPr/>
      <dgm:t>
        <a:bodyPr/>
        <a:lstStyle/>
        <a:p>
          <a:pPr algn="ctr"/>
          <a:r>
            <a:rPr lang="en-US"/>
            <a:t>Learning Outcomes</a:t>
          </a:r>
        </a:p>
      </dgm:t>
    </dgm:pt>
    <dgm:pt modelId="{7A2FAC8B-55BA-8E44-8B03-9263A8CB6D22}" type="parTrans" cxnId="{C6EE9197-4DBF-2E48-B540-9250671DD29A}">
      <dgm:prSet/>
      <dgm:spPr/>
      <dgm:t>
        <a:bodyPr/>
        <a:lstStyle/>
        <a:p>
          <a:pPr algn="ctr"/>
          <a:endParaRPr lang="en-US"/>
        </a:p>
      </dgm:t>
    </dgm:pt>
    <dgm:pt modelId="{BBF54D98-A226-F043-B2D8-94DD2C201074}" type="sibTrans" cxnId="{C6EE9197-4DBF-2E48-B540-9250671DD29A}">
      <dgm:prSet/>
      <dgm:spPr/>
      <dgm:t>
        <a:bodyPr/>
        <a:lstStyle/>
        <a:p>
          <a:pPr algn="ctr"/>
          <a:endParaRPr lang="en-US"/>
        </a:p>
      </dgm:t>
    </dgm:pt>
    <dgm:pt modelId="{41D9B778-A3F3-6540-BD7C-214A58C7B7D6}">
      <dgm:prSet phldrT="[Text]"/>
      <dgm:spPr/>
      <dgm:t>
        <a:bodyPr/>
        <a:lstStyle/>
        <a:p>
          <a:pPr algn="ctr"/>
          <a:r>
            <a:rPr lang="en-US"/>
            <a:t>Assessments</a:t>
          </a:r>
        </a:p>
      </dgm:t>
    </dgm:pt>
    <dgm:pt modelId="{C33BADDE-B944-DE40-9C24-CB37558C36FF}" type="parTrans" cxnId="{818E31A4-DE26-7D46-A6FB-72881220472E}">
      <dgm:prSet/>
      <dgm:spPr/>
      <dgm:t>
        <a:bodyPr/>
        <a:lstStyle/>
        <a:p>
          <a:pPr algn="ctr"/>
          <a:endParaRPr lang="en-US"/>
        </a:p>
      </dgm:t>
    </dgm:pt>
    <dgm:pt modelId="{2CFFC539-D2E4-7F4A-B6F0-57304A1A397A}" type="sibTrans" cxnId="{818E31A4-DE26-7D46-A6FB-72881220472E}">
      <dgm:prSet/>
      <dgm:spPr/>
      <dgm:t>
        <a:bodyPr/>
        <a:lstStyle/>
        <a:p>
          <a:pPr algn="ctr"/>
          <a:endParaRPr lang="en-US"/>
        </a:p>
      </dgm:t>
    </dgm:pt>
    <dgm:pt modelId="{DE132644-39F1-054F-9F35-19E0AD29A1D3}">
      <dgm:prSet phldrT="[Text]"/>
      <dgm:spPr/>
      <dgm:t>
        <a:bodyPr/>
        <a:lstStyle/>
        <a:p>
          <a:pPr algn="ctr"/>
          <a:r>
            <a:rPr lang="en-US"/>
            <a:t>Curriculum Plan</a:t>
          </a:r>
        </a:p>
      </dgm:t>
    </dgm:pt>
    <dgm:pt modelId="{1E99591B-8CA0-984C-9ADE-A44408769FF2}" type="parTrans" cxnId="{8C019184-6060-4744-8B2A-D3543ADE705A}">
      <dgm:prSet/>
      <dgm:spPr/>
      <dgm:t>
        <a:bodyPr/>
        <a:lstStyle/>
        <a:p>
          <a:pPr algn="ctr"/>
          <a:endParaRPr lang="en-US"/>
        </a:p>
      </dgm:t>
    </dgm:pt>
    <dgm:pt modelId="{E51B09EE-F27A-B043-9001-BA0911D6A924}" type="sibTrans" cxnId="{8C019184-6060-4744-8B2A-D3543ADE705A}">
      <dgm:prSet/>
      <dgm:spPr/>
      <dgm:t>
        <a:bodyPr/>
        <a:lstStyle/>
        <a:p>
          <a:pPr algn="ctr"/>
          <a:endParaRPr lang="en-US"/>
        </a:p>
      </dgm:t>
    </dgm:pt>
    <dgm:pt modelId="{F12999DC-4D36-6A44-A6A1-F94CCE674C20}" type="pres">
      <dgm:prSet presAssocID="{EA10DBEA-5068-2A4C-A5A0-27E04BB92084}" presName="cycle" presStyleCnt="0">
        <dgm:presLayoutVars>
          <dgm:dir/>
          <dgm:resizeHandles val="exact"/>
        </dgm:presLayoutVars>
      </dgm:prSet>
      <dgm:spPr/>
      <dgm:t>
        <a:bodyPr/>
        <a:lstStyle/>
        <a:p>
          <a:endParaRPr lang="en-US"/>
        </a:p>
      </dgm:t>
    </dgm:pt>
    <dgm:pt modelId="{6A62C1CE-16F7-0F49-9DBA-3E4C12770DC9}" type="pres">
      <dgm:prSet presAssocID="{2757E70D-4196-7346-AAE5-260720BA9362}" presName="node" presStyleLbl="node1" presStyleIdx="0" presStyleCnt="3">
        <dgm:presLayoutVars>
          <dgm:bulletEnabled val="1"/>
        </dgm:presLayoutVars>
      </dgm:prSet>
      <dgm:spPr/>
      <dgm:t>
        <a:bodyPr/>
        <a:lstStyle/>
        <a:p>
          <a:endParaRPr lang="en-US"/>
        </a:p>
      </dgm:t>
    </dgm:pt>
    <dgm:pt modelId="{10177A03-82AC-2245-80E3-54D4F60BBA0E}" type="pres">
      <dgm:prSet presAssocID="{2757E70D-4196-7346-AAE5-260720BA9362}" presName="spNode" presStyleCnt="0"/>
      <dgm:spPr/>
    </dgm:pt>
    <dgm:pt modelId="{DA15E954-36A9-D04F-836C-FD692C22813C}" type="pres">
      <dgm:prSet presAssocID="{BBF54D98-A226-F043-B2D8-94DD2C201074}" presName="sibTrans" presStyleLbl="sibTrans1D1" presStyleIdx="0" presStyleCnt="3"/>
      <dgm:spPr/>
      <dgm:t>
        <a:bodyPr/>
        <a:lstStyle/>
        <a:p>
          <a:endParaRPr lang="en-US"/>
        </a:p>
      </dgm:t>
    </dgm:pt>
    <dgm:pt modelId="{0A0E8953-AA31-6F4A-B2C4-3D110D422839}" type="pres">
      <dgm:prSet presAssocID="{41D9B778-A3F3-6540-BD7C-214A58C7B7D6}" presName="node" presStyleLbl="node1" presStyleIdx="1" presStyleCnt="3">
        <dgm:presLayoutVars>
          <dgm:bulletEnabled val="1"/>
        </dgm:presLayoutVars>
      </dgm:prSet>
      <dgm:spPr/>
      <dgm:t>
        <a:bodyPr/>
        <a:lstStyle/>
        <a:p>
          <a:endParaRPr lang="en-US"/>
        </a:p>
      </dgm:t>
    </dgm:pt>
    <dgm:pt modelId="{DE9D6D1F-9000-A544-894A-E0B571569878}" type="pres">
      <dgm:prSet presAssocID="{41D9B778-A3F3-6540-BD7C-214A58C7B7D6}" presName="spNode" presStyleCnt="0"/>
      <dgm:spPr/>
    </dgm:pt>
    <dgm:pt modelId="{794C80AB-AAAA-A84C-B03D-B783A1D5B4B0}" type="pres">
      <dgm:prSet presAssocID="{2CFFC539-D2E4-7F4A-B6F0-57304A1A397A}" presName="sibTrans" presStyleLbl="sibTrans1D1" presStyleIdx="1" presStyleCnt="3"/>
      <dgm:spPr/>
      <dgm:t>
        <a:bodyPr/>
        <a:lstStyle/>
        <a:p>
          <a:endParaRPr lang="en-US"/>
        </a:p>
      </dgm:t>
    </dgm:pt>
    <dgm:pt modelId="{AB933992-B427-564F-A821-C477B97A0375}" type="pres">
      <dgm:prSet presAssocID="{DE132644-39F1-054F-9F35-19E0AD29A1D3}" presName="node" presStyleLbl="node1" presStyleIdx="2" presStyleCnt="3">
        <dgm:presLayoutVars>
          <dgm:bulletEnabled val="1"/>
        </dgm:presLayoutVars>
      </dgm:prSet>
      <dgm:spPr/>
      <dgm:t>
        <a:bodyPr/>
        <a:lstStyle/>
        <a:p>
          <a:endParaRPr lang="en-US"/>
        </a:p>
      </dgm:t>
    </dgm:pt>
    <dgm:pt modelId="{BF01FC64-7CE8-A547-9353-6780C59E5696}" type="pres">
      <dgm:prSet presAssocID="{DE132644-39F1-054F-9F35-19E0AD29A1D3}" presName="spNode" presStyleCnt="0"/>
      <dgm:spPr/>
    </dgm:pt>
    <dgm:pt modelId="{05A82A1A-69F5-3D43-A46A-EC90AB5C98DC}" type="pres">
      <dgm:prSet presAssocID="{E51B09EE-F27A-B043-9001-BA0911D6A924}" presName="sibTrans" presStyleLbl="sibTrans1D1" presStyleIdx="2" presStyleCnt="3"/>
      <dgm:spPr/>
      <dgm:t>
        <a:bodyPr/>
        <a:lstStyle/>
        <a:p>
          <a:endParaRPr lang="en-US"/>
        </a:p>
      </dgm:t>
    </dgm:pt>
  </dgm:ptLst>
  <dgm:cxnLst>
    <dgm:cxn modelId="{C6EE9197-4DBF-2E48-B540-9250671DD29A}" srcId="{EA10DBEA-5068-2A4C-A5A0-27E04BB92084}" destId="{2757E70D-4196-7346-AAE5-260720BA9362}" srcOrd="0" destOrd="0" parTransId="{7A2FAC8B-55BA-8E44-8B03-9263A8CB6D22}" sibTransId="{BBF54D98-A226-F043-B2D8-94DD2C201074}"/>
    <dgm:cxn modelId="{AA9F6EDE-D69C-EE47-9440-E241D931BC2B}" type="presOf" srcId="{41D9B778-A3F3-6540-BD7C-214A58C7B7D6}" destId="{0A0E8953-AA31-6F4A-B2C4-3D110D422839}" srcOrd="0" destOrd="0" presId="urn:microsoft.com/office/officeart/2005/8/layout/cycle5"/>
    <dgm:cxn modelId="{8C019184-6060-4744-8B2A-D3543ADE705A}" srcId="{EA10DBEA-5068-2A4C-A5A0-27E04BB92084}" destId="{DE132644-39F1-054F-9F35-19E0AD29A1D3}" srcOrd="2" destOrd="0" parTransId="{1E99591B-8CA0-984C-9ADE-A44408769FF2}" sibTransId="{E51B09EE-F27A-B043-9001-BA0911D6A924}"/>
    <dgm:cxn modelId="{B026EE7A-1727-7542-B500-E4CCAC5F61F4}" type="presOf" srcId="{2CFFC539-D2E4-7F4A-B6F0-57304A1A397A}" destId="{794C80AB-AAAA-A84C-B03D-B783A1D5B4B0}" srcOrd="0" destOrd="0" presId="urn:microsoft.com/office/officeart/2005/8/layout/cycle5"/>
    <dgm:cxn modelId="{74078925-15EE-9240-8AF2-896C8BB0B8A9}" type="presOf" srcId="{2757E70D-4196-7346-AAE5-260720BA9362}" destId="{6A62C1CE-16F7-0F49-9DBA-3E4C12770DC9}" srcOrd="0" destOrd="0" presId="urn:microsoft.com/office/officeart/2005/8/layout/cycle5"/>
    <dgm:cxn modelId="{2627CD19-67F1-5643-B8F5-77EA1FB74597}" type="presOf" srcId="{EA10DBEA-5068-2A4C-A5A0-27E04BB92084}" destId="{F12999DC-4D36-6A44-A6A1-F94CCE674C20}" srcOrd="0" destOrd="0" presId="urn:microsoft.com/office/officeart/2005/8/layout/cycle5"/>
    <dgm:cxn modelId="{818E31A4-DE26-7D46-A6FB-72881220472E}" srcId="{EA10DBEA-5068-2A4C-A5A0-27E04BB92084}" destId="{41D9B778-A3F3-6540-BD7C-214A58C7B7D6}" srcOrd="1" destOrd="0" parTransId="{C33BADDE-B944-DE40-9C24-CB37558C36FF}" sibTransId="{2CFFC539-D2E4-7F4A-B6F0-57304A1A397A}"/>
    <dgm:cxn modelId="{E279DF2C-89A5-6242-98DE-B7B308B25CBA}" type="presOf" srcId="{BBF54D98-A226-F043-B2D8-94DD2C201074}" destId="{DA15E954-36A9-D04F-836C-FD692C22813C}" srcOrd="0" destOrd="0" presId="urn:microsoft.com/office/officeart/2005/8/layout/cycle5"/>
    <dgm:cxn modelId="{148208D3-6E84-D248-940C-9E4B3B874796}" type="presOf" srcId="{E51B09EE-F27A-B043-9001-BA0911D6A924}" destId="{05A82A1A-69F5-3D43-A46A-EC90AB5C98DC}" srcOrd="0" destOrd="0" presId="urn:microsoft.com/office/officeart/2005/8/layout/cycle5"/>
    <dgm:cxn modelId="{CF9F0DB9-BEBE-1849-BCF3-1C58576241E3}" type="presOf" srcId="{DE132644-39F1-054F-9F35-19E0AD29A1D3}" destId="{AB933992-B427-564F-A821-C477B97A0375}" srcOrd="0" destOrd="0" presId="urn:microsoft.com/office/officeart/2005/8/layout/cycle5"/>
    <dgm:cxn modelId="{240B6681-1D72-CF4B-8D41-5F8D822DD2E0}" type="presParOf" srcId="{F12999DC-4D36-6A44-A6A1-F94CCE674C20}" destId="{6A62C1CE-16F7-0F49-9DBA-3E4C12770DC9}" srcOrd="0" destOrd="0" presId="urn:microsoft.com/office/officeart/2005/8/layout/cycle5"/>
    <dgm:cxn modelId="{FB63FEC6-E633-AE4C-8D2C-0B0406A0D145}" type="presParOf" srcId="{F12999DC-4D36-6A44-A6A1-F94CCE674C20}" destId="{10177A03-82AC-2245-80E3-54D4F60BBA0E}" srcOrd="1" destOrd="0" presId="urn:microsoft.com/office/officeart/2005/8/layout/cycle5"/>
    <dgm:cxn modelId="{65BFA002-30B1-0347-9C73-256AA42A2315}" type="presParOf" srcId="{F12999DC-4D36-6A44-A6A1-F94CCE674C20}" destId="{DA15E954-36A9-D04F-836C-FD692C22813C}" srcOrd="2" destOrd="0" presId="urn:microsoft.com/office/officeart/2005/8/layout/cycle5"/>
    <dgm:cxn modelId="{789D8E08-5E1A-2F41-8EF6-C0F6A01AB394}" type="presParOf" srcId="{F12999DC-4D36-6A44-A6A1-F94CCE674C20}" destId="{0A0E8953-AA31-6F4A-B2C4-3D110D422839}" srcOrd="3" destOrd="0" presId="urn:microsoft.com/office/officeart/2005/8/layout/cycle5"/>
    <dgm:cxn modelId="{322190EF-E378-2F4D-A8D7-AAEAE193CC7D}" type="presParOf" srcId="{F12999DC-4D36-6A44-A6A1-F94CCE674C20}" destId="{DE9D6D1F-9000-A544-894A-E0B571569878}" srcOrd="4" destOrd="0" presId="urn:microsoft.com/office/officeart/2005/8/layout/cycle5"/>
    <dgm:cxn modelId="{2F71DE4E-44AB-154B-B0AA-6C0B552F53E6}" type="presParOf" srcId="{F12999DC-4D36-6A44-A6A1-F94CCE674C20}" destId="{794C80AB-AAAA-A84C-B03D-B783A1D5B4B0}" srcOrd="5" destOrd="0" presId="urn:microsoft.com/office/officeart/2005/8/layout/cycle5"/>
    <dgm:cxn modelId="{F28B8DC9-0374-7746-A26B-67FF0827F5D8}" type="presParOf" srcId="{F12999DC-4D36-6A44-A6A1-F94CCE674C20}" destId="{AB933992-B427-564F-A821-C477B97A0375}" srcOrd="6" destOrd="0" presId="urn:microsoft.com/office/officeart/2005/8/layout/cycle5"/>
    <dgm:cxn modelId="{6B9A69F3-1FBF-034D-A938-62049C3D574F}" type="presParOf" srcId="{F12999DC-4D36-6A44-A6A1-F94CCE674C20}" destId="{BF01FC64-7CE8-A547-9353-6780C59E5696}" srcOrd="7" destOrd="0" presId="urn:microsoft.com/office/officeart/2005/8/layout/cycle5"/>
    <dgm:cxn modelId="{DDB269BB-84CA-F94F-AC3A-7CEFEED9B4AF}" type="presParOf" srcId="{F12999DC-4D36-6A44-A6A1-F94CCE674C20}" destId="{05A82A1A-69F5-3D43-A46A-EC90AB5C98DC}" srcOrd="8"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62C1CE-16F7-0F49-9DBA-3E4C12770DC9}">
      <dsp:nvSpPr>
        <dsp:cNvPr id="0" name=""/>
        <dsp:cNvSpPr/>
      </dsp:nvSpPr>
      <dsp:spPr>
        <a:xfrm>
          <a:off x="1224274" y="168"/>
          <a:ext cx="575955" cy="3743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Learning Outcomes</a:t>
          </a:r>
        </a:p>
      </dsp:txBody>
      <dsp:txXfrm>
        <a:off x="1242549" y="18443"/>
        <a:ext cx="539405" cy="337821"/>
      </dsp:txXfrm>
    </dsp:sp>
    <dsp:sp modelId="{DA15E954-36A9-D04F-836C-FD692C22813C}">
      <dsp:nvSpPr>
        <dsp:cNvPr id="0" name=""/>
        <dsp:cNvSpPr/>
      </dsp:nvSpPr>
      <dsp:spPr>
        <a:xfrm>
          <a:off x="1013508" y="187353"/>
          <a:ext cx="997488" cy="997488"/>
        </a:xfrm>
        <a:custGeom>
          <a:avLst/>
          <a:gdLst/>
          <a:ahLst/>
          <a:cxnLst/>
          <a:rect l="0" t="0" r="0" b="0"/>
          <a:pathLst>
            <a:path>
              <a:moveTo>
                <a:pt x="863822" y="158945"/>
              </a:moveTo>
              <a:arcTo wR="498744" hR="498744" stAng="19023238" swAng="229937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A0E8953-AA31-6F4A-B2C4-3D110D422839}">
      <dsp:nvSpPr>
        <dsp:cNvPr id="0" name=""/>
        <dsp:cNvSpPr/>
      </dsp:nvSpPr>
      <dsp:spPr>
        <a:xfrm>
          <a:off x="1656199" y="748284"/>
          <a:ext cx="575955" cy="3743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Assessments</a:t>
          </a:r>
        </a:p>
      </dsp:txBody>
      <dsp:txXfrm>
        <a:off x="1674474" y="766559"/>
        <a:ext cx="539405" cy="337821"/>
      </dsp:txXfrm>
    </dsp:sp>
    <dsp:sp modelId="{794C80AB-AAAA-A84C-B03D-B783A1D5B4B0}">
      <dsp:nvSpPr>
        <dsp:cNvPr id="0" name=""/>
        <dsp:cNvSpPr/>
      </dsp:nvSpPr>
      <dsp:spPr>
        <a:xfrm>
          <a:off x="1013508" y="187353"/>
          <a:ext cx="997488" cy="997488"/>
        </a:xfrm>
        <a:custGeom>
          <a:avLst/>
          <a:gdLst/>
          <a:ahLst/>
          <a:cxnLst/>
          <a:rect l="0" t="0" r="0" b="0"/>
          <a:pathLst>
            <a:path>
              <a:moveTo>
                <a:pt x="651503" y="973518"/>
              </a:moveTo>
              <a:arcTo wR="498744" hR="498744" stAng="4329864" swAng="214027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B933992-B427-564F-A821-C477B97A0375}">
      <dsp:nvSpPr>
        <dsp:cNvPr id="0" name=""/>
        <dsp:cNvSpPr/>
      </dsp:nvSpPr>
      <dsp:spPr>
        <a:xfrm>
          <a:off x="792349" y="748284"/>
          <a:ext cx="575955" cy="3743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Curriculum Plan</a:t>
          </a:r>
        </a:p>
      </dsp:txBody>
      <dsp:txXfrm>
        <a:off x="810624" y="766559"/>
        <a:ext cx="539405" cy="337821"/>
      </dsp:txXfrm>
    </dsp:sp>
    <dsp:sp modelId="{05A82A1A-69F5-3D43-A46A-EC90AB5C98DC}">
      <dsp:nvSpPr>
        <dsp:cNvPr id="0" name=""/>
        <dsp:cNvSpPr/>
      </dsp:nvSpPr>
      <dsp:spPr>
        <a:xfrm>
          <a:off x="1013508" y="187353"/>
          <a:ext cx="997488" cy="997488"/>
        </a:xfrm>
        <a:custGeom>
          <a:avLst/>
          <a:gdLst/>
          <a:ahLst/>
          <a:cxnLst/>
          <a:rect l="0" t="0" r="0" b="0"/>
          <a:pathLst>
            <a:path>
              <a:moveTo>
                <a:pt x="1622" y="458545"/>
              </a:moveTo>
              <a:arcTo wR="498744" hR="498744" stAng="11077383" swAng="229937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FC4E-9B44-4BB2-8C4C-4B472E29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Chapman Rackaway</cp:lastModifiedBy>
  <cp:revision>2</cp:revision>
  <dcterms:created xsi:type="dcterms:W3CDTF">2015-09-22T19:04:00Z</dcterms:created>
  <dcterms:modified xsi:type="dcterms:W3CDTF">2015-09-22T19:04:00Z</dcterms:modified>
</cp:coreProperties>
</file>