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49" w:rsidRDefault="00186C49" w:rsidP="00186C49">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19186CD2" wp14:editId="5913624B">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5329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 xml:space="preserve">FHSU </w:t>
      </w:r>
      <w:r>
        <w:rPr>
          <w:rFonts w:ascii="Trebuchet MS" w:hAnsi="Trebuchet MS" w:cs="Tahoma"/>
          <w:b/>
          <w:color w:val="BF8F00" w:themeColor="accent4" w:themeShade="BF"/>
          <w:sz w:val="48"/>
          <w:szCs w:val="48"/>
        </w:rPr>
        <w:t>General</w:t>
      </w:r>
      <w:r w:rsidRPr="00A047DA">
        <w:rPr>
          <w:rFonts w:ascii="Trebuchet MS" w:hAnsi="Trebuchet MS" w:cs="Tahoma"/>
          <w:b/>
          <w:color w:val="BF8F00" w:themeColor="accent4" w:themeShade="BF"/>
          <w:sz w:val="48"/>
          <w:szCs w:val="48"/>
        </w:rPr>
        <w:t xml:space="preserve"> Education Committe</w:t>
      </w:r>
      <w:r>
        <w:rPr>
          <w:rFonts w:ascii="Tahoma" w:hAnsi="Tahoma" w:cs="Tahoma"/>
          <w:b/>
          <w:color w:val="BF8F00" w:themeColor="accent4" w:themeShade="BF"/>
          <w:sz w:val="48"/>
          <w:szCs w:val="48"/>
        </w:rPr>
        <w:t>e</w:t>
      </w:r>
    </w:p>
    <w:p w:rsidR="00186C49" w:rsidRPr="00035A9F" w:rsidRDefault="00186C49" w:rsidP="00186C49">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rsidR="00186C49" w:rsidRDefault="00186C49" w:rsidP="00186C49">
      <w:pPr>
        <w:spacing w:line="240" w:lineRule="auto"/>
        <w:rPr>
          <w:rFonts w:ascii="Trebuchet MS" w:hAnsi="Trebuchet MS" w:cs="Tahoma"/>
          <w:color w:val="BF8F00" w:themeColor="accent4" w:themeShade="BF"/>
          <w:u w:val="single"/>
        </w:rPr>
        <w:sectPr w:rsidR="00186C49">
          <w:pgSz w:w="12240" w:h="15840"/>
          <w:pgMar w:top="1440" w:right="1440" w:bottom="1440" w:left="1440" w:header="720" w:footer="720" w:gutter="0"/>
          <w:cols w:space="720"/>
          <w:docGrid w:linePitch="360"/>
        </w:sectPr>
      </w:pP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Meeting Called by</w:t>
      </w:r>
      <w:r w:rsidRPr="00A62BA8">
        <w:rPr>
          <w:rFonts w:cs="Tahoma"/>
          <w:color w:val="BF8F00" w:themeColor="accent4" w:themeShade="BF"/>
        </w:rPr>
        <w:tab/>
      </w:r>
    </w:p>
    <w:p w:rsidR="00186C49" w:rsidRPr="00A62BA8" w:rsidRDefault="00186C49" w:rsidP="00186C49">
      <w:pPr>
        <w:spacing w:line="240" w:lineRule="auto"/>
        <w:rPr>
          <w:rFonts w:cs="Tahoma"/>
        </w:rPr>
      </w:pPr>
      <w:r>
        <w:rPr>
          <w:rFonts w:cs="Tahoma"/>
        </w:rPr>
        <w:t>Bradley Will</w:t>
      </w:r>
      <w:r w:rsidRPr="00A62BA8">
        <w:rPr>
          <w:rFonts w:cs="Tahoma"/>
        </w:rPr>
        <w:t>, Chair</w:t>
      </w: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Date:</w:t>
      </w:r>
      <w:r w:rsidRPr="00A62BA8">
        <w:rPr>
          <w:rFonts w:cs="Tahoma"/>
          <w:color w:val="BF8F00" w:themeColor="accent4" w:themeShade="BF"/>
        </w:rPr>
        <w:tab/>
      </w:r>
      <w:r w:rsidR="00A126F2">
        <w:rPr>
          <w:rFonts w:cs="Tahoma"/>
        </w:rPr>
        <w:t xml:space="preserve">Monday </w:t>
      </w:r>
      <w:r w:rsidR="001D6CBC">
        <w:rPr>
          <w:rFonts w:cs="Tahoma"/>
        </w:rPr>
        <w:t>November 13</w:t>
      </w:r>
      <w:r>
        <w:rPr>
          <w:rFonts w:cs="Tahoma"/>
        </w:rPr>
        <w:t xml:space="preserve">, </w:t>
      </w:r>
      <w:r w:rsidRPr="00A62BA8">
        <w:rPr>
          <w:rFonts w:cs="Tahoma"/>
        </w:rPr>
        <w:t>2017</w:t>
      </w: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Time:</w:t>
      </w:r>
      <w:r w:rsidRPr="00A62BA8">
        <w:rPr>
          <w:rFonts w:cs="Tahoma"/>
          <w:color w:val="BF8F00" w:themeColor="accent4" w:themeShade="BF"/>
        </w:rPr>
        <w:tab/>
        <w:t xml:space="preserve"> </w:t>
      </w:r>
      <w:r>
        <w:rPr>
          <w:rFonts w:cs="Tahoma"/>
        </w:rPr>
        <w:t>3:30-4:3</w:t>
      </w:r>
      <w:r w:rsidRPr="00A62BA8">
        <w:rPr>
          <w:rFonts w:cs="Tahoma"/>
        </w:rPr>
        <w:t>0</w:t>
      </w:r>
      <w:r w:rsidRPr="00A62BA8">
        <w:rPr>
          <w:rFonts w:cs="Tahoma"/>
          <w:color w:val="BF8F00" w:themeColor="accent4" w:themeShade="BF"/>
        </w:rPr>
        <w:t xml:space="preserve"> </w:t>
      </w:r>
    </w:p>
    <w:p w:rsidR="00186C49" w:rsidRPr="00A62BA8" w:rsidRDefault="00186C49" w:rsidP="00186C49">
      <w:pPr>
        <w:spacing w:line="240" w:lineRule="auto"/>
        <w:rPr>
          <w:rFonts w:cs="Tahoma"/>
        </w:rPr>
      </w:pPr>
      <w:r w:rsidRPr="00A62BA8">
        <w:rPr>
          <w:rFonts w:cs="Tahoma"/>
          <w:color w:val="BF8F00" w:themeColor="accent4" w:themeShade="BF"/>
        </w:rPr>
        <w:t xml:space="preserve">Location: </w:t>
      </w:r>
      <w:r>
        <w:rPr>
          <w:rFonts w:cs="Tahoma"/>
        </w:rPr>
        <w:t>Rarick 205</w:t>
      </w: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Default="00186C49" w:rsidP="00186C49">
      <w:pPr>
        <w:spacing w:line="240" w:lineRule="auto"/>
        <w:rPr>
          <w:rFonts w:cs="Tahoma"/>
        </w:rPr>
      </w:pPr>
    </w:p>
    <w:p w:rsidR="00D54876" w:rsidRPr="00A62BA8" w:rsidRDefault="00D54876" w:rsidP="00186C49">
      <w:pPr>
        <w:spacing w:line="240" w:lineRule="auto"/>
        <w:rPr>
          <w:rFonts w:cs="Tahoma"/>
        </w:rPr>
      </w:pPr>
    </w:p>
    <w:p w:rsidR="00186C49" w:rsidRPr="00A62BA8" w:rsidRDefault="00186C49" w:rsidP="00186C49">
      <w:pPr>
        <w:spacing w:after="0" w:line="240" w:lineRule="auto"/>
        <w:rPr>
          <w:rFonts w:cs="Tahoma"/>
          <w:color w:val="BF8F00" w:themeColor="accent4" w:themeShade="BF"/>
        </w:rPr>
      </w:pPr>
    </w:p>
    <w:p w:rsidR="00186C49" w:rsidRPr="00A62BA8" w:rsidRDefault="00186C49" w:rsidP="00186C49">
      <w:pPr>
        <w:spacing w:after="0" w:line="240" w:lineRule="auto"/>
        <w:rPr>
          <w:rFonts w:cs="Tahoma"/>
          <w:b/>
          <w:color w:val="BF8F00" w:themeColor="accent4" w:themeShade="BF"/>
        </w:rPr>
      </w:pPr>
      <w:r w:rsidRPr="00A62BA8">
        <w:rPr>
          <w:rFonts w:cs="Tahoma"/>
          <w:color w:val="BF8F00" w:themeColor="accent4" w:themeShade="BF"/>
        </w:rPr>
        <w:t>Members</w:t>
      </w:r>
      <w:r w:rsidRPr="00A62BA8">
        <w:rPr>
          <w:rFonts w:cs="Tahoma"/>
          <w:b/>
          <w:color w:val="BF8F00" w:themeColor="accent4" w:themeShade="BF"/>
        </w:rPr>
        <w:tab/>
      </w:r>
    </w:p>
    <w:sdt>
      <w:sdtPr>
        <w:id w:val="-1539655202"/>
        <w:placeholder>
          <w:docPart w:val="01E4BA097A5C4041816B62DC8234DA94"/>
        </w:placeholder>
      </w:sdtPr>
      <w:sdtEndPr/>
      <w:sdtContent>
        <w:p w:rsidR="00186C49" w:rsidRPr="00A62BA8" w:rsidRDefault="00186C49" w:rsidP="00186C49">
          <w:pPr>
            <w:spacing w:after="0" w:line="240" w:lineRule="auto"/>
          </w:pPr>
          <w:r w:rsidRPr="00A62BA8">
            <w:t>Douglas Drabkin (AHSS)</w:t>
          </w:r>
        </w:p>
        <w:p w:rsidR="00186C49" w:rsidRPr="00A62BA8" w:rsidRDefault="00186C49" w:rsidP="00186C49">
          <w:pPr>
            <w:spacing w:after="0" w:line="240" w:lineRule="auto"/>
          </w:pPr>
          <w:r>
            <w:t>Marcella Marez</w:t>
          </w:r>
          <w:r w:rsidRPr="00A62BA8">
            <w:t xml:space="preserve"> (AHSS)</w:t>
          </w:r>
        </w:p>
        <w:p w:rsidR="00186C49" w:rsidRDefault="00186C49" w:rsidP="00186C49">
          <w:pPr>
            <w:spacing w:after="0" w:line="240" w:lineRule="auto"/>
          </w:pPr>
          <w:r w:rsidRPr="00A62BA8">
            <w:t>Jessica Heronemus (BE)</w:t>
          </w:r>
        </w:p>
        <w:p w:rsidR="00186C49" w:rsidRPr="00A62BA8" w:rsidRDefault="00186C49" w:rsidP="00186C49">
          <w:pPr>
            <w:spacing w:after="0" w:line="240" w:lineRule="auto"/>
          </w:pPr>
          <w:r>
            <w:t>David Schmidt (BE)</w:t>
          </w:r>
        </w:p>
        <w:p w:rsidR="00186C49" w:rsidRPr="00A62BA8" w:rsidRDefault="00186C49" w:rsidP="00186C49">
          <w:pPr>
            <w:spacing w:after="0" w:line="240" w:lineRule="auto"/>
            <w:rPr>
              <w:rFonts w:cs="Tahoma"/>
            </w:rPr>
          </w:pPr>
          <w:r w:rsidRPr="00A62BA8">
            <w:rPr>
              <w:rFonts w:cs="Tahoma"/>
            </w:rPr>
            <w:t>Kevin Splichal (Ed)</w:t>
          </w:r>
        </w:p>
        <w:p w:rsidR="00186C49" w:rsidRDefault="00186C49" w:rsidP="00186C49">
          <w:pPr>
            <w:spacing w:after="0" w:line="240" w:lineRule="auto"/>
          </w:pPr>
          <w:r w:rsidRPr="00A62BA8">
            <w:t>Teresa Woods (Ed)</w:t>
          </w:r>
        </w:p>
        <w:p w:rsidR="00186C49" w:rsidRPr="00A62BA8" w:rsidRDefault="00186C49" w:rsidP="00186C49">
          <w:pPr>
            <w:spacing w:after="0" w:line="240" w:lineRule="auto"/>
          </w:pPr>
          <w:r>
            <w:t>Trey Hill (HBS)</w:t>
          </w:r>
        </w:p>
        <w:p w:rsidR="00186C49" w:rsidRPr="00A62BA8" w:rsidRDefault="00186C49" w:rsidP="00186C49">
          <w:pPr>
            <w:spacing w:after="0" w:line="240" w:lineRule="auto"/>
          </w:pPr>
          <w:r w:rsidRPr="00A62BA8">
            <w:t>Glen McNeil (HBS)</w:t>
          </w:r>
        </w:p>
        <w:p w:rsidR="00186C49" w:rsidRPr="00A62BA8" w:rsidRDefault="00186C49" w:rsidP="00186C49">
          <w:pPr>
            <w:spacing w:after="0" w:line="240" w:lineRule="auto"/>
          </w:pPr>
          <w:r w:rsidRPr="00A62BA8">
            <w:t>William Weber (STM)</w:t>
          </w:r>
        </w:p>
        <w:p w:rsidR="00186C49" w:rsidRPr="00A62BA8" w:rsidRDefault="00186C49" w:rsidP="00186C49">
          <w:pPr>
            <w:spacing w:after="0" w:line="240" w:lineRule="auto"/>
          </w:pPr>
          <w:r w:rsidRPr="00A62BA8">
            <w:t>Tom Schafer (STM)</w:t>
          </w:r>
        </w:p>
        <w:p w:rsidR="00186C49" w:rsidRPr="00A62BA8" w:rsidRDefault="00186C49" w:rsidP="00186C49">
          <w:pPr>
            <w:spacing w:after="0" w:line="240" w:lineRule="auto"/>
          </w:pPr>
          <w:r w:rsidRPr="00A62BA8">
            <w:t>Robyn Hartman (Lib)</w:t>
          </w:r>
        </w:p>
        <w:p w:rsidR="00186C49" w:rsidRPr="00A62BA8" w:rsidRDefault="00186C49" w:rsidP="00186C49">
          <w:pPr>
            <w:spacing w:after="0" w:line="240" w:lineRule="auto"/>
          </w:pPr>
          <w:r w:rsidRPr="00A62BA8">
            <w:t>Helen Miles (Senate)</w:t>
          </w:r>
        </w:p>
        <w:p w:rsidR="00D54876" w:rsidRPr="00D54876" w:rsidRDefault="00186C49" w:rsidP="00186C49">
          <w:pPr>
            <w:spacing w:after="0" w:line="240" w:lineRule="auto"/>
          </w:pPr>
          <w:r>
            <w:t>Adam Schibi</w:t>
          </w:r>
          <w:r w:rsidRPr="00A62BA8">
            <w:t xml:space="preserve"> (SGA)</w:t>
          </w:r>
        </w:p>
        <w:p w:rsidR="00186C49" w:rsidRPr="00A62BA8" w:rsidRDefault="00186C49" w:rsidP="00186C49">
          <w:pPr>
            <w:spacing w:after="0" w:line="240" w:lineRule="auto"/>
          </w:pPr>
          <w:r w:rsidRPr="00A62BA8">
            <w:t>Cheryl Duffy (Goss Engl)</w:t>
          </w:r>
        </w:p>
        <w:p w:rsidR="00186C49" w:rsidRPr="00A62BA8" w:rsidRDefault="00186C49" w:rsidP="00186C49">
          <w:pPr>
            <w:spacing w:after="0" w:line="240" w:lineRule="auto"/>
          </w:pPr>
          <w:r w:rsidRPr="00A62BA8">
            <w:t>Kenton Russell (FYE)</w:t>
          </w:r>
        </w:p>
        <w:p w:rsidR="00D54876" w:rsidRDefault="00186C49" w:rsidP="00186C49">
          <w:pPr>
            <w:spacing w:after="0" w:line="240" w:lineRule="auto"/>
          </w:pPr>
          <w:r>
            <w:t>Tanya Smith</w:t>
          </w:r>
          <w:r w:rsidRPr="00A62BA8">
            <w:t xml:space="preserve"> (Grad Sch)</w:t>
          </w:r>
        </w:p>
        <w:p w:rsidR="00186C49" w:rsidRPr="00A62BA8" w:rsidRDefault="00D54876" w:rsidP="00186C49">
          <w:pPr>
            <w:spacing w:after="0" w:line="240" w:lineRule="auto"/>
            <w:sectPr w:rsidR="00186C49" w:rsidRPr="00A62BA8" w:rsidSect="00B03BE4">
              <w:type w:val="continuous"/>
              <w:pgSz w:w="12240" w:h="15840"/>
              <w:pgMar w:top="1440" w:right="1440" w:bottom="1440" w:left="1440" w:header="720" w:footer="720" w:gutter="0"/>
              <w:cols w:num="2" w:space="720"/>
              <w:docGrid w:linePitch="360"/>
            </w:sectPr>
          </w:pPr>
          <w:r>
            <w:t>Paul Lucas (nonvoting member)</w:t>
          </w:r>
        </w:p>
      </w:sdtContent>
    </w:sdt>
    <w:p w:rsidR="00186C49" w:rsidRPr="00A62BA8" w:rsidRDefault="00186C49" w:rsidP="00186C49">
      <w:pPr>
        <w:spacing w:line="240" w:lineRule="auto"/>
      </w:pPr>
      <w:r w:rsidRPr="00A62BA8">
        <w:rPr>
          <w:rFonts w:ascii="Trebuchet MS" w:hAnsi="Trebuchet MS" w:cs="Tahoma"/>
          <w:b/>
          <w:noProof/>
          <w:color w:val="FFC000" w:themeColor="accent4"/>
        </w:rPr>
        <mc:AlternateContent>
          <mc:Choice Requires="wps">
            <w:drawing>
              <wp:anchor distT="0" distB="0" distL="114300" distR="114300" simplePos="0" relativeHeight="251660288" behindDoc="0" locked="0" layoutInCell="1" allowOverlap="1" wp14:anchorId="57AEC551" wp14:editId="66D487BE">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C9AC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186C49" w:rsidRDefault="00186C49" w:rsidP="00186C49">
      <w:pPr>
        <w:pStyle w:val="NoSpacing"/>
        <w:spacing w:line="276" w:lineRule="auto"/>
      </w:pPr>
    </w:p>
    <w:p w:rsidR="00D8152D" w:rsidRDefault="00FC1C70" w:rsidP="00186C49">
      <w:pPr>
        <w:pStyle w:val="NoSpacing"/>
        <w:spacing w:line="276" w:lineRule="auto"/>
      </w:pPr>
      <w:r>
        <w:t>3:32</w:t>
      </w:r>
      <w:r w:rsidR="00186C49" w:rsidRPr="00A62BA8">
        <w:tab/>
        <w:t>(</w:t>
      </w:r>
      <w:r w:rsidR="001D6CBC">
        <w:t>3</w:t>
      </w:r>
      <w:r w:rsidR="00186C49">
        <w:t xml:space="preserve"> minute</w:t>
      </w:r>
      <w:r w:rsidR="001D6CBC">
        <w:t>s</w:t>
      </w:r>
      <w:r w:rsidR="00186C49">
        <w:t xml:space="preserve">)  All members were present with the exception of </w:t>
      </w:r>
      <w:r w:rsidR="001D6CBC">
        <w:t xml:space="preserve">Hill, </w:t>
      </w:r>
      <w:r w:rsidR="00D54876">
        <w:t xml:space="preserve">Lucas, </w:t>
      </w:r>
      <w:bookmarkStart w:id="0" w:name="_GoBack"/>
      <w:bookmarkEnd w:id="0"/>
      <w:r w:rsidR="001D6CBC">
        <w:t>Schafer, and Weber.</w:t>
      </w:r>
    </w:p>
    <w:p w:rsidR="001D6CBC" w:rsidRDefault="001D6CBC" w:rsidP="00186C49">
      <w:pPr>
        <w:pStyle w:val="NoSpacing"/>
        <w:spacing w:line="276" w:lineRule="auto"/>
      </w:pPr>
    </w:p>
    <w:p w:rsidR="001D6CBC" w:rsidRDefault="00FC1C70" w:rsidP="001D6CBC">
      <w:pPr>
        <w:pStyle w:val="NoSpacing"/>
        <w:spacing w:line="276" w:lineRule="auto"/>
      </w:pPr>
      <w:r>
        <w:t>3:33</w:t>
      </w:r>
      <w:r w:rsidR="00186C49">
        <w:tab/>
        <w:t>(</w:t>
      </w:r>
      <w:r w:rsidR="001D6CBC">
        <w:t>42 minutes</w:t>
      </w:r>
      <w:r w:rsidR="0090445F">
        <w:t xml:space="preserve">)  </w:t>
      </w:r>
      <w:r w:rsidR="001D6CBC">
        <w:t xml:space="preserve">The committee examined the </w:t>
      </w:r>
      <w:r w:rsidR="00D715D5">
        <w:t>recently drafted</w:t>
      </w:r>
      <w:r w:rsidR="001D6CBC">
        <w:t xml:space="preserve"> measurable learning outcomes from the subgroup working on the historical mode of inquiry, discussed </w:t>
      </w:r>
      <w:r w:rsidR="00D715D5">
        <w:t>them</w:t>
      </w:r>
      <w:r w:rsidR="001D6CBC">
        <w:t xml:space="preserve"> at length, individually and as a set, and decided, in the end, to send them back for reformulation.  Takeaways from the discussion include the following: </w:t>
      </w:r>
      <w:r w:rsidR="00F66362">
        <w:t xml:space="preserve"> </w:t>
      </w:r>
      <w:r w:rsidR="00AC1CA4">
        <w:t xml:space="preserve">(1) </w:t>
      </w:r>
      <w:r w:rsidR="00F66362">
        <w:t xml:space="preserve">Each measurable learning outcome needs to be </w:t>
      </w:r>
      <w:r w:rsidR="00F66362" w:rsidRPr="00F66362">
        <w:rPr>
          <w:i/>
        </w:rPr>
        <w:t>one thing</w:t>
      </w:r>
      <w:r w:rsidR="00F66362">
        <w:t xml:space="preserve"> (one product, one activity) formulated around </w:t>
      </w:r>
      <w:r w:rsidR="00F66362" w:rsidRPr="00F66362">
        <w:rPr>
          <w:i/>
        </w:rPr>
        <w:t>one verb phrase</w:t>
      </w:r>
      <w:r w:rsidR="00F66362">
        <w:t xml:space="preserve"> (the student will identify x, or the student will interpret y, or the student will write z</w:t>
      </w:r>
      <w:r w:rsidR="003A588E">
        <w:t>, etc.</w:t>
      </w:r>
      <w:r w:rsidR="00F66362">
        <w:t>).</w:t>
      </w:r>
      <w:r w:rsidR="00AC1CA4">
        <w:t xml:space="preserve">  (2) Each measurable learning outcome needs to be clearly written, so tha</w:t>
      </w:r>
      <w:r w:rsidR="003A588E">
        <w:t>t there is no question what it’</w:t>
      </w:r>
      <w:r w:rsidR="00AC1CA4">
        <w:t xml:space="preserve">s calling for; although </w:t>
      </w:r>
      <w:r w:rsidR="00353EFC">
        <w:t>these outcomes will be</w:t>
      </w:r>
      <w:r w:rsidR="00D715D5">
        <w:t xml:space="preserve"> </w:t>
      </w:r>
      <w:r w:rsidR="00AC1CA4">
        <w:t xml:space="preserve">formulated outside </w:t>
      </w:r>
      <w:r w:rsidR="00D715D5">
        <w:t>our</w:t>
      </w:r>
      <w:r w:rsidR="00AC1CA4">
        <w:t xml:space="preserve"> committee, </w:t>
      </w:r>
      <w:r w:rsidR="00353EFC">
        <w:t>they need</w:t>
      </w:r>
      <w:r w:rsidR="00AC1CA4">
        <w:t xml:space="preserve"> to make perfect sense to </w:t>
      </w:r>
      <w:r w:rsidR="00D715D5">
        <w:t>our</w:t>
      </w:r>
      <w:r w:rsidR="00AC1CA4">
        <w:t xml:space="preserve"> committee</w:t>
      </w:r>
      <w:r w:rsidR="003A588E">
        <w:t>,</w:t>
      </w:r>
      <w:r w:rsidR="00AC1CA4">
        <w:t xml:space="preserve"> and </w:t>
      </w:r>
      <w:r w:rsidR="003A588E">
        <w:t xml:space="preserve">eventually </w:t>
      </w:r>
      <w:r w:rsidR="00AC1CA4">
        <w:t xml:space="preserve">to the university community as a whole.  (3) </w:t>
      </w:r>
      <w:r w:rsidR="003A588E">
        <w:t>The s</w:t>
      </w:r>
      <w:r w:rsidR="00AC1CA4">
        <w:t xml:space="preserve">ubgroups should take the </w:t>
      </w:r>
      <w:r w:rsidR="003A588E">
        <w:t>“</w:t>
      </w:r>
      <w:r w:rsidR="00AC1CA4">
        <w:t>scope-skill-significance</w:t>
      </w:r>
      <w:r w:rsidR="003A588E">
        <w:t>”</w:t>
      </w:r>
      <w:r w:rsidR="00AC1CA4">
        <w:t xml:space="preserve"> pattern as no more than a reasonable jumping off point</w:t>
      </w:r>
      <w:r w:rsidR="003A588E">
        <w:t xml:space="preserve"> for formulating outcomes; the final set of three </w:t>
      </w:r>
      <w:r w:rsidR="00AC1CA4">
        <w:t>outcomes</w:t>
      </w:r>
      <w:r w:rsidR="003A588E">
        <w:t xml:space="preserve"> (or two, or one) should be whatever the subgroup judges best captures the heart of the program objective </w:t>
      </w:r>
      <w:r w:rsidR="00D715D5">
        <w:t>under consideration</w:t>
      </w:r>
      <w:r w:rsidR="008844F3">
        <w:t xml:space="preserve"> (or </w:t>
      </w:r>
      <w:r w:rsidR="003A588E">
        <w:t>in the case of objective 2.1</w:t>
      </w:r>
      <w:r w:rsidR="008844F3">
        <w:t>, the heart of the mode of inquiry under consideration</w:t>
      </w:r>
      <w:r w:rsidR="003A588E">
        <w:t>).  And (4) w</w:t>
      </w:r>
      <w:r w:rsidR="00AC1CA4">
        <w:t>e can’t spend 40+ minutes on each of these sets of learni</w:t>
      </w:r>
      <w:r w:rsidR="003A588E">
        <w:t>ng out</w:t>
      </w:r>
      <w:r w:rsidR="00D715D5">
        <w:t>comes.  This last point is p</w:t>
      </w:r>
      <w:r w:rsidR="003A588E">
        <w:t xml:space="preserve">lainly false as a statement of fact, but true as a statement of </w:t>
      </w:r>
      <w:r w:rsidR="00D715D5">
        <w:t>the committee’s intention.</w:t>
      </w:r>
    </w:p>
    <w:p w:rsidR="00D715D5" w:rsidRDefault="00D715D5" w:rsidP="001D6CBC">
      <w:pPr>
        <w:pStyle w:val="NoSpacing"/>
        <w:spacing w:line="276" w:lineRule="auto"/>
      </w:pPr>
    </w:p>
    <w:p w:rsidR="00D715D5" w:rsidRDefault="00D715D5" w:rsidP="001D6CBC">
      <w:pPr>
        <w:pStyle w:val="NoSpacing"/>
        <w:spacing w:line="276" w:lineRule="auto"/>
      </w:pPr>
      <w:r>
        <w:t>4:22</w:t>
      </w:r>
      <w:r>
        <w:tab/>
        <w:t xml:space="preserve">(12 minutes)  </w:t>
      </w:r>
      <w:r w:rsidR="008844F3">
        <w:t xml:space="preserve">Woods brought a draft of the survey that we will be sending out to stakeholder groups to get further feedback on </w:t>
      </w:r>
      <w:r w:rsidR="00353EFC">
        <w:t xml:space="preserve">the </w:t>
      </w:r>
      <w:r w:rsidR="008844F3">
        <w:t xml:space="preserve">measurable learning outcomes that will soon be coming out of our committee.  The document was discussed, edited, and put to a vote for acceptance; </w:t>
      </w:r>
      <w:r w:rsidR="00353EFC">
        <w:t>this</w:t>
      </w:r>
      <w:r w:rsidR="008844F3">
        <w:t xml:space="preserve"> passed unanimously.  (</w:t>
      </w:r>
      <w:r w:rsidR="008844F3" w:rsidRPr="00E01245">
        <w:rPr>
          <w:i/>
        </w:rPr>
        <w:t xml:space="preserve">See Appendix for the resulting </w:t>
      </w:r>
      <w:r w:rsidR="008844F3" w:rsidRPr="00E01245">
        <w:rPr>
          <w:i/>
        </w:rPr>
        <w:lastRenderedPageBreak/>
        <w:t>document.</w:t>
      </w:r>
      <w:r w:rsidR="008844F3">
        <w:t xml:space="preserve">)  Woods explained that, </w:t>
      </w:r>
      <w:r w:rsidR="00240D6A">
        <w:t>as long as the survey data aren’t reported in any study beyond the FHSU campus</w:t>
      </w:r>
      <w:r w:rsidR="008844F3">
        <w:t xml:space="preserve">, there is no need to </w:t>
      </w:r>
      <w:r w:rsidR="00353EFC">
        <w:t>submit it</w:t>
      </w:r>
      <w:r w:rsidR="008844F3">
        <w:t xml:space="preserve"> for IRB approval (</w:t>
      </w:r>
      <w:r w:rsidR="00E01245">
        <w:t xml:space="preserve">that is, </w:t>
      </w:r>
      <w:r w:rsidR="00353EFC">
        <w:t>for consideration by</w:t>
      </w:r>
      <w:r w:rsidR="008844F3">
        <w:t xml:space="preserve"> the institut</w:t>
      </w:r>
      <w:r w:rsidR="00353EFC">
        <w:t>ional review board overseeing</w:t>
      </w:r>
      <w:r w:rsidR="008844F3">
        <w:t xml:space="preserve"> human subject research</w:t>
      </w:r>
      <w:r w:rsidR="00353EFC">
        <w:t xml:space="preserve"> at FHSU).  W</w:t>
      </w:r>
      <w:r w:rsidR="008844F3">
        <w:t xml:space="preserve">oods will nonetheless run the survey by Leslie Paige for her </w:t>
      </w:r>
      <w:r w:rsidR="00353EFC">
        <w:t>blessing.</w:t>
      </w:r>
    </w:p>
    <w:p w:rsidR="00866EBC" w:rsidRPr="007629E9" w:rsidRDefault="00866EBC" w:rsidP="003D5738">
      <w:pPr>
        <w:pStyle w:val="NoSpacing"/>
        <w:spacing w:line="276" w:lineRule="auto"/>
      </w:pPr>
    </w:p>
    <w:p w:rsidR="00F803F0" w:rsidRDefault="00836D87" w:rsidP="003D5738">
      <w:pPr>
        <w:pStyle w:val="NoSpacing"/>
        <w:spacing w:line="276" w:lineRule="auto"/>
      </w:pPr>
      <w:r>
        <w:t>4:34</w:t>
      </w:r>
      <w:r w:rsidR="00CD39E3">
        <w:tab/>
        <w:t xml:space="preserve">Meeting ended.  </w:t>
      </w:r>
      <w:r w:rsidR="00353EFC">
        <w:t xml:space="preserve">No meeting next week.  </w:t>
      </w:r>
      <w:r w:rsidR="00CD39E3">
        <w:t xml:space="preserve">The next </w:t>
      </w:r>
      <w:r w:rsidR="00385DD0">
        <w:t xml:space="preserve">meeting </w:t>
      </w:r>
      <w:r w:rsidR="00CD39E3">
        <w:t>is</w:t>
      </w:r>
      <w:r w:rsidR="00385DD0">
        <w:t xml:space="preserve"> </w:t>
      </w:r>
      <w:r w:rsidR="00353EFC">
        <w:t>scheduled for Monday November 27</w:t>
      </w:r>
      <w:r w:rsidR="00CD39E3">
        <w:t xml:space="preserve"> at 3:30 PM in Rarick 205.</w:t>
      </w:r>
    </w:p>
    <w:p w:rsidR="0090445F" w:rsidRPr="00CC6A23" w:rsidRDefault="0090445F" w:rsidP="00186C49">
      <w:pPr>
        <w:pStyle w:val="NoSpacing"/>
        <w:spacing w:line="276" w:lineRule="auto"/>
      </w:pPr>
    </w:p>
    <w:p w:rsidR="00186C49" w:rsidRPr="00A62BA8" w:rsidRDefault="00186C49" w:rsidP="00186C49">
      <w:pPr>
        <w:pStyle w:val="NoSpacing"/>
        <w:spacing w:line="276" w:lineRule="auto"/>
        <w:rPr>
          <w:b/>
          <w:color w:val="BF8F00" w:themeColor="accent4" w:themeShade="BF"/>
        </w:rPr>
      </w:pPr>
      <w:r w:rsidRPr="00A62BA8">
        <w:rPr>
          <w:b/>
          <w:color w:val="BF8F00" w:themeColor="accent4" w:themeShade="BF"/>
        </w:rPr>
        <w:t>----------------------------------------------------------------------</w:t>
      </w:r>
    </w:p>
    <w:p w:rsidR="00186C49" w:rsidRPr="00A62BA8" w:rsidRDefault="00186C49" w:rsidP="00186C49">
      <w:pPr>
        <w:pStyle w:val="NoSpacing"/>
        <w:spacing w:line="276" w:lineRule="auto"/>
        <w:rPr>
          <w:b/>
          <w:color w:val="BF8F00" w:themeColor="accent4" w:themeShade="BF"/>
        </w:rPr>
      </w:pPr>
    </w:p>
    <w:p w:rsidR="00186C49" w:rsidRPr="00A62BA8" w:rsidRDefault="00186C49" w:rsidP="00186C49">
      <w:pPr>
        <w:pStyle w:val="NoSpacing"/>
        <w:spacing w:line="276" w:lineRule="auto"/>
        <w:rPr>
          <w:b/>
          <w:color w:val="BF8F00" w:themeColor="accent4" w:themeShade="BF"/>
        </w:rPr>
      </w:pPr>
      <w:r w:rsidRPr="00A62BA8">
        <w:rPr>
          <w:b/>
          <w:color w:val="BF8F00" w:themeColor="accent4" w:themeShade="BF"/>
        </w:rPr>
        <w:t>Submitted by D. Drabkin, Recording Secretary</w:t>
      </w:r>
    </w:p>
    <w:p w:rsidR="00186C49" w:rsidRPr="00A62BA8" w:rsidRDefault="00186C49" w:rsidP="00186C49">
      <w:pPr>
        <w:pStyle w:val="NoSpacing"/>
        <w:spacing w:line="276" w:lineRule="auto"/>
        <w:rPr>
          <w:b/>
          <w:color w:val="BF8F00" w:themeColor="accent4" w:themeShade="BF"/>
        </w:rPr>
      </w:pPr>
    </w:p>
    <w:p w:rsidR="00C93248" w:rsidRDefault="00186C49" w:rsidP="006915AD">
      <w:pPr>
        <w:pStyle w:val="NoSpacing"/>
        <w:spacing w:line="276" w:lineRule="auto"/>
        <w:rPr>
          <w:rFonts w:ascii="Calibri" w:eastAsia="Times New Roman" w:hAnsi="Calibri" w:cs="Tahoma"/>
          <w:color w:val="444444"/>
        </w:rPr>
      </w:pPr>
      <w:r w:rsidRPr="006A0147">
        <w:rPr>
          <w:noProof/>
          <w:sz w:val="24"/>
          <w:szCs w:val="24"/>
        </w:rPr>
        <w:drawing>
          <wp:inline distT="0" distB="0" distL="0" distR="0" wp14:anchorId="026883A1" wp14:editId="7E8E77C6">
            <wp:extent cx="772886" cy="772886"/>
            <wp:effectExtent l="0" t="0" r="8255" b="8255"/>
            <wp:docPr id="3" name="Picture 3" descr="Image result for festina 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stina l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16" cy="786716"/>
                    </a:xfrm>
                    <a:prstGeom prst="rect">
                      <a:avLst/>
                    </a:prstGeom>
                    <a:noFill/>
                    <a:ln>
                      <a:noFill/>
                    </a:ln>
                  </pic:spPr>
                </pic:pic>
              </a:graphicData>
            </a:graphic>
          </wp:inline>
        </w:drawing>
      </w:r>
    </w:p>
    <w:p w:rsidR="00CC2CB4" w:rsidRDefault="00CC2CB4" w:rsidP="006915AD">
      <w:pPr>
        <w:pStyle w:val="NoSpacing"/>
        <w:spacing w:line="276" w:lineRule="auto"/>
        <w:rPr>
          <w:rFonts w:ascii="Calibri" w:eastAsia="Times New Roman" w:hAnsi="Calibri" w:cs="Tahoma"/>
          <w:color w:val="444444"/>
        </w:rPr>
      </w:pPr>
    </w:p>
    <w:p w:rsidR="00CC2CB4" w:rsidRPr="00CC2CB4" w:rsidRDefault="00CC2CB4" w:rsidP="00CC2CB4">
      <w:pPr>
        <w:pStyle w:val="NoSpacing"/>
        <w:spacing w:line="276" w:lineRule="auto"/>
        <w:rPr>
          <w:rFonts w:ascii="Calibri" w:eastAsia="Times New Roman" w:hAnsi="Calibri" w:cs="Tahoma"/>
          <w:b/>
          <w:i/>
          <w:color w:val="444444"/>
          <w:sz w:val="24"/>
          <w:szCs w:val="24"/>
        </w:rPr>
      </w:pPr>
      <w:r w:rsidRPr="00CC2CB4">
        <w:rPr>
          <w:rFonts w:ascii="Calibri" w:eastAsia="Times New Roman" w:hAnsi="Calibri" w:cs="Tahoma"/>
          <w:b/>
          <w:i/>
          <w:color w:val="444444"/>
          <w:sz w:val="24"/>
          <w:szCs w:val="24"/>
        </w:rPr>
        <w:t xml:space="preserve">Appendix – survey instrument </w:t>
      </w:r>
      <w:r w:rsidRPr="00CC2CB4">
        <w:rPr>
          <w:rFonts w:ascii="Calibri" w:eastAsia="Times New Roman" w:hAnsi="Calibri" w:cs="Tahoma"/>
          <w:color w:val="444444"/>
        </w:rPr>
        <w:t>(see 4:22 above):</w:t>
      </w:r>
    </w:p>
    <w:p w:rsidR="00CC2CB4" w:rsidRDefault="00CC2CB4" w:rsidP="00CC2CB4">
      <w:pPr>
        <w:pStyle w:val="NoSpacing"/>
        <w:rPr>
          <w:rFonts w:ascii="Calibri" w:eastAsia="Times New Roman" w:hAnsi="Calibri" w:cs="Tahoma"/>
          <w:b/>
          <w:i/>
          <w:color w:val="444444"/>
        </w:rPr>
      </w:pPr>
    </w:p>
    <w:p w:rsidR="00CC2CB4" w:rsidRPr="00CC2CB4" w:rsidRDefault="00CC2CB4" w:rsidP="00AB7FF3">
      <w:pPr>
        <w:pStyle w:val="NoSpacing"/>
        <w:ind w:left="720"/>
        <w:rPr>
          <w:rFonts w:ascii="Calibri" w:eastAsia="Times New Roman" w:hAnsi="Calibri" w:cs="Tahoma"/>
          <w:b/>
          <w:i/>
          <w:color w:val="444444"/>
        </w:rPr>
      </w:pPr>
      <w:r>
        <w:t>Dear Colleagues,</w:t>
      </w:r>
    </w:p>
    <w:p w:rsidR="00CC2CB4" w:rsidRDefault="00CC2CB4" w:rsidP="00AB7FF3">
      <w:pPr>
        <w:spacing w:line="240" w:lineRule="auto"/>
        <w:ind w:left="720"/>
      </w:pPr>
    </w:p>
    <w:p w:rsidR="00CC2CB4" w:rsidRDefault="00CC2CB4" w:rsidP="00AB7FF3">
      <w:pPr>
        <w:spacing w:line="240" w:lineRule="auto"/>
        <w:ind w:left="720"/>
      </w:pPr>
      <w:r>
        <w:t xml:space="preserve">The General Education Committee (formerly Liberal Education Committee) </w:t>
      </w:r>
      <w:r w:rsidRPr="001A48E3">
        <w:rPr>
          <w:b/>
        </w:rPr>
        <w:t>wants your feedback</w:t>
      </w:r>
      <w:r>
        <w:t xml:space="preserve"> on learning outcomes for FHSU’s baccalaureate graduates.  Over the last two years, we have incorporated FHSU community input to develop three goals and twelve learning objectives to identify our expectations of what students should know and be able to do upon graduation. </w:t>
      </w:r>
    </w:p>
    <w:p w:rsidR="00CC2CB4" w:rsidRDefault="00CC2CB4" w:rsidP="00AB7FF3">
      <w:pPr>
        <w:spacing w:line="240" w:lineRule="auto"/>
        <w:ind w:left="720"/>
      </w:pPr>
    </w:p>
    <w:p w:rsidR="00CC2CB4" w:rsidRPr="001A48E3" w:rsidRDefault="00CC2CB4" w:rsidP="00AB7FF3">
      <w:pPr>
        <w:spacing w:line="240" w:lineRule="auto"/>
        <w:ind w:left="720"/>
        <w:rPr>
          <w:b/>
        </w:rPr>
      </w:pPr>
      <w:r w:rsidRPr="001A48E3">
        <w:rPr>
          <w:b/>
        </w:rPr>
        <w:t xml:space="preserve">Now we need your input on the measurable learning outcomes related to each </w:t>
      </w:r>
      <w:r>
        <w:rPr>
          <w:b/>
        </w:rPr>
        <w:t xml:space="preserve">learning </w:t>
      </w:r>
      <w:r w:rsidRPr="001A48E3">
        <w:rPr>
          <w:b/>
        </w:rPr>
        <w:t xml:space="preserve">objective. </w:t>
      </w:r>
    </w:p>
    <w:p w:rsidR="00CC2CB4" w:rsidRDefault="00CC2CB4" w:rsidP="00AB7FF3">
      <w:pPr>
        <w:spacing w:line="240" w:lineRule="auto"/>
        <w:ind w:left="720"/>
      </w:pPr>
    </w:p>
    <w:p w:rsidR="00CC2CB4" w:rsidRDefault="00CC2CB4" w:rsidP="00AB7FF3">
      <w:pPr>
        <w:spacing w:line="240" w:lineRule="auto"/>
        <w:ind w:left="720"/>
        <w:rPr>
          <w:b/>
        </w:rPr>
      </w:pPr>
      <w:r>
        <w:t xml:space="preserve">Small groups convened by the General Education Committee have developed these measurable learning outcomes (see below).  Because you are recognized as a relevant expert and/or stakeholder, we ask for your feedback on these.  </w:t>
      </w:r>
      <w:r w:rsidRPr="001A48E3">
        <w:rPr>
          <w:b/>
        </w:rPr>
        <w:t xml:space="preserve">Please complete the </w:t>
      </w:r>
      <w:r>
        <w:rPr>
          <w:b/>
        </w:rPr>
        <w:t xml:space="preserve">brief </w:t>
      </w:r>
      <w:r w:rsidRPr="001A48E3">
        <w:rPr>
          <w:b/>
        </w:rPr>
        <w:t>survey at the link below</w:t>
      </w:r>
      <w:r>
        <w:rPr>
          <w:b/>
        </w:rPr>
        <w:t xml:space="preserve"> by {closing date}.</w:t>
      </w:r>
    </w:p>
    <w:p w:rsidR="00CC2CB4" w:rsidRDefault="00CC2CB4" w:rsidP="00AB7FF3">
      <w:pPr>
        <w:spacing w:line="240" w:lineRule="auto"/>
        <w:ind w:left="720"/>
        <w:rPr>
          <w:b/>
        </w:rPr>
      </w:pPr>
    </w:p>
    <w:p w:rsidR="00CC2CB4" w:rsidRDefault="00CC2CB4" w:rsidP="00AB7FF3">
      <w:pPr>
        <w:spacing w:line="240" w:lineRule="auto"/>
        <w:ind w:left="720"/>
        <w:rPr>
          <w:b/>
        </w:rPr>
      </w:pPr>
      <w:r>
        <w:rPr>
          <w:b/>
        </w:rPr>
        <w:t>{link}</w:t>
      </w:r>
    </w:p>
    <w:p w:rsidR="00CC2CB4" w:rsidRDefault="00CC2CB4" w:rsidP="00AB7FF3">
      <w:pPr>
        <w:spacing w:line="240" w:lineRule="auto"/>
        <w:ind w:left="720"/>
        <w:rPr>
          <w:b/>
        </w:rPr>
      </w:pPr>
    </w:p>
    <w:p w:rsidR="00CC2CB4" w:rsidRDefault="00CC2CB4" w:rsidP="00AB7FF3">
      <w:pPr>
        <w:spacing w:line="240" w:lineRule="auto"/>
        <w:ind w:left="720"/>
      </w:pPr>
      <w:r>
        <w:t>Of the twelve learning objectives, this survey considers the learning outcomes related to (the ______ mode of inquiry within) this one learning objective:</w:t>
      </w:r>
    </w:p>
    <w:p w:rsidR="00CC2CB4" w:rsidRDefault="00CC2CB4" w:rsidP="00AB7FF3">
      <w:pPr>
        <w:spacing w:line="240" w:lineRule="auto"/>
        <w:ind w:left="720"/>
      </w:pPr>
    </w:p>
    <w:p w:rsidR="00CC2CB4" w:rsidRPr="00196329" w:rsidRDefault="00CC2CB4" w:rsidP="00AB7FF3">
      <w:pPr>
        <w:spacing w:line="240" w:lineRule="auto"/>
        <w:ind w:left="1440"/>
        <w:rPr>
          <w:i/>
        </w:rPr>
      </w:pPr>
      <w:r>
        <w:rPr>
          <w:i/>
        </w:rPr>
        <w:t xml:space="preserve">Objective 2.1 Knowledge of the Liberal Arts:  Students will possess a </w:t>
      </w:r>
      <w:r w:rsidRPr="00196329">
        <w:rPr>
          <w:i/>
        </w:rPr>
        <w:t>broad understanding of the world, having studied the humanities, mathematics, the natural sciences, and the social and behavioral sciences, and the ways of knowing characteristic of these disciplines.</w:t>
      </w:r>
    </w:p>
    <w:p w:rsidR="00CC2CB4" w:rsidRDefault="00CC2CB4" w:rsidP="00AB7FF3">
      <w:pPr>
        <w:spacing w:line="240" w:lineRule="auto"/>
        <w:ind w:left="720"/>
      </w:pPr>
      <w:r>
        <w:t xml:space="preserve"> </w:t>
      </w:r>
    </w:p>
    <w:p w:rsidR="00CC2CB4" w:rsidRDefault="00CC2CB4" w:rsidP="00AB7FF3">
      <w:pPr>
        <w:spacing w:line="240" w:lineRule="auto"/>
        <w:ind w:left="720"/>
      </w:pPr>
      <w:r>
        <w:t xml:space="preserve">Please keep in mind that we are not considering courses now.  Rather, the General Education program is being revised as an outcomes-based program. </w:t>
      </w:r>
    </w:p>
    <w:p w:rsidR="00CC2CB4" w:rsidRDefault="00CC2CB4" w:rsidP="00AB7FF3">
      <w:pPr>
        <w:spacing w:line="240" w:lineRule="auto"/>
        <w:ind w:left="720"/>
      </w:pPr>
    </w:p>
    <w:p w:rsidR="00CC2CB4" w:rsidRDefault="00CC2CB4" w:rsidP="00AB7FF3">
      <w:pPr>
        <w:spacing w:line="240" w:lineRule="auto"/>
        <w:ind w:left="720"/>
      </w:pPr>
      <w:r w:rsidRPr="006E3D85">
        <w:rPr>
          <w:b/>
        </w:rPr>
        <w:lastRenderedPageBreak/>
        <w:t>Please forward this survey</w:t>
      </w:r>
      <w:r>
        <w:t xml:space="preserve"> to any FHSU faculty member (full-time or adjunct) that you deem has expertise and/or is a stakeholder in this area.  In addition, please forward this survey to anyone who requests it of you.</w:t>
      </w:r>
    </w:p>
    <w:p w:rsidR="00CC2CB4" w:rsidRDefault="00CC2CB4" w:rsidP="00AB7FF3">
      <w:pPr>
        <w:spacing w:line="240" w:lineRule="auto"/>
        <w:ind w:left="720"/>
      </w:pPr>
    </w:p>
    <w:p w:rsidR="00CC2CB4" w:rsidRPr="006E3D85" w:rsidRDefault="00CC2CB4" w:rsidP="00AB7FF3">
      <w:pPr>
        <w:spacing w:line="240" w:lineRule="auto"/>
        <w:ind w:left="720"/>
        <w:rPr>
          <w:b/>
        </w:rPr>
      </w:pPr>
      <w:r>
        <w:t xml:space="preserve">If you choose to provide feedback, we ask that you provide your name and department.  We ask this for reasons of transparency and ability to follow up with individuals.  As such, this is not considered a research study, but rather a program improvement survey.  We appreciate your input.  </w:t>
      </w:r>
      <w:r w:rsidRPr="006E3D85">
        <w:rPr>
          <w:b/>
        </w:rPr>
        <w:t>Survey will close on {date (one week)}.</w:t>
      </w:r>
    </w:p>
    <w:p w:rsidR="00CC2CB4" w:rsidRDefault="00CC2CB4" w:rsidP="00AB7FF3">
      <w:pPr>
        <w:spacing w:line="240" w:lineRule="auto"/>
        <w:ind w:left="720"/>
      </w:pPr>
    </w:p>
    <w:p w:rsidR="00CC2CB4" w:rsidRDefault="00CC2CB4" w:rsidP="00AB7FF3">
      <w:pPr>
        <w:spacing w:line="240" w:lineRule="auto"/>
        <w:ind w:left="720"/>
      </w:pPr>
    </w:p>
    <w:p w:rsidR="00CC2CB4" w:rsidRPr="006E3D85" w:rsidRDefault="00CC2CB4" w:rsidP="00AB7FF3">
      <w:pPr>
        <w:spacing w:line="240" w:lineRule="auto"/>
        <w:ind w:left="720"/>
        <w:rPr>
          <w:b/>
        </w:rPr>
      </w:pPr>
      <w:r>
        <w:rPr>
          <w:b/>
        </w:rPr>
        <w:t>{link}</w:t>
      </w:r>
    </w:p>
    <w:p w:rsidR="00CC2CB4" w:rsidRDefault="00CC2CB4" w:rsidP="00AB7FF3">
      <w:pPr>
        <w:spacing w:line="240" w:lineRule="auto"/>
        <w:ind w:left="720"/>
      </w:pPr>
    </w:p>
    <w:p w:rsidR="00CC2CB4" w:rsidRDefault="00CC2CB4" w:rsidP="00AB7FF3">
      <w:pPr>
        <w:spacing w:line="240" w:lineRule="auto"/>
        <w:ind w:left="720"/>
      </w:pPr>
    </w:p>
    <w:p w:rsidR="00CC2CB4" w:rsidRDefault="00CC2CB4" w:rsidP="00AB7FF3">
      <w:pPr>
        <w:spacing w:line="240" w:lineRule="auto"/>
        <w:ind w:left="720"/>
      </w:pPr>
    </w:p>
    <w:p w:rsidR="00CC2CB4" w:rsidRDefault="00CC2CB4" w:rsidP="00AB7FF3">
      <w:pPr>
        <w:spacing w:line="240" w:lineRule="auto"/>
        <w:ind w:left="720"/>
      </w:pPr>
    </w:p>
    <w:p w:rsidR="00CC2CB4" w:rsidRDefault="00CC2CB4" w:rsidP="00AB7FF3">
      <w:pPr>
        <w:spacing w:line="240" w:lineRule="auto"/>
        <w:ind w:left="720"/>
        <w:rPr>
          <w:b/>
        </w:rPr>
      </w:pPr>
      <w:r w:rsidRPr="008F4439">
        <w:rPr>
          <w:b/>
        </w:rPr>
        <w:t>Survey</w:t>
      </w:r>
    </w:p>
    <w:p w:rsidR="00CC2CB4" w:rsidRDefault="00CC2CB4" w:rsidP="00AB7FF3">
      <w:pPr>
        <w:spacing w:line="240" w:lineRule="auto"/>
        <w:ind w:left="720"/>
        <w:rPr>
          <w:b/>
        </w:rPr>
      </w:pPr>
    </w:p>
    <w:p w:rsidR="00CC2CB4" w:rsidRDefault="00CC2CB4" w:rsidP="00AB7FF3">
      <w:pPr>
        <w:spacing w:line="240" w:lineRule="auto"/>
        <w:ind w:left="720"/>
      </w:pPr>
      <w:r>
        <w:t>Name (required)</w:t>
      </w:r>
    </w:p>
    <w:p w:rsidR="00CC2CB4" w:rsidRDefault="00CC2CB4" w:rsidP="00AB7FF3">
      <w:pPr>
        <w:spacing w:line="240" w:lineRule="auto"/>
        <w:ind w:left="720"/>
      </w:pPr>
      <w:r>
        <w:t>Department (required)</w:t>
      </w:r>
    </w:p>
    <w:p w:rsidR="00CC2CB4" w:rsidRDefault="00CC2CB4" w:rsidP="00AB7FF3">
      <w:pPr>
        <w:spacing w:line="240" w:lineRule="auto"/>
        <w:ind w:left="720"/>
      </w:pPr>
    </w:p>
    <w:p w:rsidR="00CC2CB4" w:rsidRDefault="00CC2CB4" w:rsidP="00AB7FF3">
      <w:pPr>
        <w:spacing w:line="240" w:lineRule="auto"/>
        <w:ind w:left="720"/>
      </w:pPr>
      <w:r>
        <w:t>The General Education Committee would like to know your level of support of the measurable outcomes below.  We also encourage comments on each.  These address the ____________ (mode of inquiry within the) learning objective:</w:t>
      </w:r>
    </w:p>
    <w:p w:rsidR="00CC2CB4" w:rsidRDefault="00CC2CB4" w:rsidP="00AB7FF3">
      <w:pPr>
        <w:spacing w:line="240" w:lineRule="auto"/>
        <w:ind w:left="720"/>
      </w:pPr>
    </w:p>
    <w:p w:rsidR="00CC2CB4" w:rsidRDefault="00CC2CB4" w:rsidP="00AB7FF3">
      <w:pPr>
        <w:spacing w:line="240" w:lineRule="auto"/>
        <w:ind w:left="1440"/>
        <w:rPr>
          <w:i/>
        </w:rPr>
      </w:pPr>
      <w:r>
        <w:rPr>
          <w:i/>
        </w:rPr>
        <w:t xml:space="preserve">Objective 2.1 Knowledge of the Liberal Arts:  Students will possess a </w:t>
      </w:r>
      <w:r w:rsidRPr="00196329">
        <w:rPr>
          <w:i/>
        </w:rPr>
        <w:t>broad understanding of the world, having studied the humanities, mathematics, the natural sciences, and the social and behavioral sciences, and the ways of knowing char</w:t>
      </w:r>
      <w:r>
        <w:rPr>
          <w:i/>
        </w:rPr>
        <w:t>acteristic of these disciplines.</w:t>
      </w:r>
    </w:p>
    <w:p w:rsidR="00CC2CB4" w:rsidRDefault="00CC2CB4" w:rsidP="00AB7FF3">
      <w:pPr>
        <w:spacing w:line="240" w:lineRule="auto"/>
        <w:ind w:left="1440"/>
        <w:rPr>
          <w:i/>
        </w:rPr>
      </w:pPr>
    </w:p>
    <w:p w:rsidR="00CC2CB4" w:rsidRPr="00196329" w:rsidRDefault="00CC2CB4" w:rsidP="00AB7FF3">
      <w:pPr>
        <w:spacing w:line="240" w:lineRule="auto"/>
        <w:ind w:left="720" w:firstLine="720"/>
        <w:rPr>
          <w:i/>
        </w:rPr>
      </w:pPr>
      <w:r>
        <w:rPr>
          <w:i/>
        </w:rPr>
        <w:t>Learning Outcome 1: xxxxxxxxxxxxxxxxxx</w:t>
      </w:r>
    </w:p>
    <w:p w:rsidR="00CC2CB4" w:rsidRDefault="00CC2CB4" w:rsidP="00AB7FF3">
      <w:pPr>
        <w:spacing w:line="240" w:lineRule="auto"/>
        <w:ind w:left="720"/>
      </w:pPr>
    </w:p>
    <w:p w:rsidR="00CC2CB4" w:rsidRDefault="00CC2CB4" w:rsidP="00AB7FF3">
      <w:pPr>
        <w:spacing w:line="240" w:lineRule="auto"/>
        <w:ind w:left="2160"/>
      </w:pPr>
      <w:r>
        <w:t>Please rate your level of support:</w:t>
      </w:r>
    </w:p>
    <w:p w:rsidR="00CC2CB4" w:rsidRDefault="00CC2CB4" w:rsidP="00AB7FF3">
      <w:pPr>
        <w:spacing w:line="240" w:lineRule="auto"/>
        <w:ind w:left="2160"/>
      </w:pPr>
    </w:p>
    <w:p w:rsidR="00CC2CB4" w:rsidRDefault="00CC2CB4" w:rsidP="00AB7FF3">
      <w:pPr>
        <w:spacing w:line="240" w:lineRule="auto"/>
        <w:ind w:left="2160"/>
      </w:pPr>
      <w:r>
        <w:t>Strongly support</w:t>
      </w:r>
    </w:p>
    <w:p w:rsidR="00CC2CB4" w:rsidRDefault="00CC2CB4" w:rsidP="00AB7FF3">
      <w:pPr>
        <w:spacing w:line="240" w:lineRule="auto"/>
        <w:ind w:left="2160"/>
      </w:pPr>
      <w:r>
        <w:t>Support</w:t>
      </w:r>
    </w:p>
    <w:p w:rsidR="00CC2CB4" w:rsidRDefault="00CC2CB4" w:rsidP="00AB7FF3">
      <w:pPr>
        <w:spacing w:line="240" w:lineRule="auto"/>
        <w:ind w:left="2160"/>
      </w:pPr>
      <w:r>
        <w:t>Neither Support/Oppose</w:t>
      </w:r>
    </w:p>
    <w:p w:rsidR="00CC2CB4" w:rsidRDefault="00CC2CB4" w:rsidP="00AB7FF3">
      <w:pPr>
        <w:spacing w:line="240" w:lineRule="auto"/>
        <w:ind w:left="2160"/>
      </w:pPr>
      <w:r>
        <w:t>Oppose</w:t>
      </w:r>
    </w:p>
    <w:p w:rsidR="00CC2CB4" w:rsidRDefault="00CC2CB4" w:rsidP="00AB7FF3">
      <w:pPr>
        <w:spacing w:line="240" w:lineRule="auto"/>
        <w:ind w:left="2160"/>
      </w:pPr>
      <w:r>
        <w:t>Strongly Oppose</w:t>
      </w:r>
    </w:p>
    <w:p w:rsidR="00CC2CB4" w:rsidRDefault="00CC2CB4" w:rsidP="00AB7FF3">
      <w:pPr>
        <w:spacing w:line="240" w:lineRule="auto"/>
        <w:ind w:left="2160"/>
      </w:pPr>
    </w:p>
    <w:p w:rsidR="00CC2CB4" w:rsidRDefault="00CC2CB4" w:rsidP="00AB7FF3">
      <w:pPr>
        <w:spacing w:line="240" w:lineRule="auto"/>
        <w:ind w:left="2160"/>
      </w:pPr>
      <w:r>
        <w:lastRenderedPageBreak/>
        <w:t>Comments, including rationale for response and suggestions:</w:t>
      </w:r>
    </w:p>
    <w:p w:rsidR="00CC2CB4" w:rsidRDefault="00CC2CB4" w:rsidP="00AB7FF3">
      <w:pPr>
        <w:spacing w:line="240" w:lineRule="auto"/>
        <w:ind w:left="720"/>
      </w:pPr>
    </w:p>
    <w:p w:rsidR="00CC2CB4" w:rsidRDefault="00CC2CB4" w:rsidP="00AB7FF3">
      <w:pPr>
        <w:spacing w:line="240" w:lineRule="auto"/>
        <w:ind w:left="720" w:firstLine="720"/>
        <w:rPr>
          <w:i/>
        </w:rPr>
      </w:pPr>
    </w:p>
    <w:p w:rsidR="00CC2CB4" w:rsidRDefault="00CC2CB4" w:rsidP="00AB7FF3">
      <w:pPr>
        <w:spacing w:line="240" w:lineRule="auto"/>
        <w:ind w:left="720" w:firstLine="720"/>
        <w:rPr>
          <w:i/>
        </w:rPr>
      </w:pPr>
    </w:p>
    <w:p w:rsidR="00CC2CB4" w:rsidRPr="00196329" w:rsidRDefault="00CC2CB4" w:rsidP="00AB7FF3">
      <w:pPr>
        <w:spacing w:line="240" w:lineRule="auto"/>
        <w:ind w:left="720" w:firstLine="720"/>
        <w:rPr>
          <w:i/>
        </w:rPr>
      </w:pPr>
      <w:r>
        <w:rPr>
          <w:i/>
        </w:rPr>
        <w:t>Learning Outcome 2: xxxxxxxxxxxxxxxxxx</w:t>
      </w:r>
    </w:p>
    <w:p w:rsidR="00CC2CB4" w:rsidRDefault="00CC2CB4" w:rsidP="00AB7FF3">
      <w:pPr>
        <w:spacing w:line="240" w:lineRule="auto"/>
        <w:ind w:left="720"/>
      </w:pPr>
    </w:p>
    <w:p w:rsidR="00CC2CB4" w:rsidRDefault="00CC2CB4" w:rsidP="00AB7FF3">
      <w:pPr>
        <w:spacing w:line="240" w:lineRule="auto"/>
        <w:ind w:left="2160"/>
      </w:pPr>
      <w:r>
        <w:t>Please rate your level of support:</w:t>
      </w:r>
    </w:p>
    <w:p w:rsidR="00CC2CB4" w:rsidRDefault="00CC2CB4" w:rsidP="00AB7FF3">
      <w:pPr>
        <w:spacing w:line="240" w:lineRule="auto"/>
        <w:ind w:left="2160"/>
      </w:pPr>
    </w:p>
    <w:p w:rsidR="00CC2CB4" w:rsidRDefault="00CC2CB4" w:rsidP="00AB7FF3">
      <w:pPr>
        <w:spacing w:line="240" w:lineRule="auto"/>
        <w:ind w:left="2160"/>
      </w:pPr>
      <w:r>
        <w:t>Strongly support</w:t>
      </w:r>
    </w:p>
    <w:p w:rsidR="00CC2CB4" w:rsidRDefault="00CC2CB4" w:rsidP="00AB7FF3">
      <w:pPr>
        <w:spacing w:line="240" w:lineRule="auto"/>
        <w:ind w:left="2160"/>
      </w:pPr>
      <w:r>
        <w:t>Support</w:t>
      </w:r>
    </w:p>
    <w:p w:rsidR="00CC2CB4" w:rsidRDefault="00CC2CB4" w:rsidP="00AB7FF3">
      <w:pPr>
        <w:spacing w:line="240" w:lineRule="auto"/>
        <w:ind w:left="2160"/>
      </w:pPr>
      <w:r>
        <w:t>Neither Support/Oppose</w:t>
      </w:r>
    </w:p>
    <w:p w:rsidR="00CC2CB4" w:rsidRDefault="00CC2CB4" w:rsidP="00AB7FF3">
      <w:pPr>
        <w:spacing w:line="240" w:lineRule="auto"/>
        <w:ind w:left="2160"/>
      </w:pPr>
      <w:r>
        <w:t>Oppose</w:t>
      </w:r>
    </w:p>
    <w:p w:rsidR="00CC2CB4" w:rsidRDefault="00CC2CB4" w:rsidP="00AB7FF3">
      <w:pPr>
        <w:spacing w:line="240" w:lineRule="auto"/>
        <w:ind w:left="2160"/>
      </w:pPr>
      <w:r>
        <w:t>Strongly Oppose</w:t>
      </w:r>
    </w:p>
    <w:p w:rsidR="00CC2CB4" w:rsidRDefault="00CC2CB4" w:rsidP="00AB7FF3">
      <w:pPr>
        <w:spacing w:line="240" w:lineRule="auto"/>
        <w:ind w:left="2160"/>
      </w:pPr>
    </w:p>
    <w:p w:rsidR="00CC2CB4" w:rsidRPr="008F4439" w:rsidRDefault="00CC2CB4" w:rsidP="00AB7FF3">
      <w:pPr>
        <w:spacing w:line="240" w:lineRule="auto"/>
        <w:ind w:left="2160"/>
      </w:pPr>
      <w:r>
        <w:t>Comments, including rationale for response and suggestions:</w:t>
      </w:r>
    </w:p>
    <w:p w:rsidR="00CC2CB4" w:rsidRDefault="00CC2CB4" w:rsidP="00AB7FF3">
      <w:pPr>
        <w:spacing w:line="240" w:lineRule="auto"/>
        <w:ind w:left="720"/>
      </w:pPr>
    </w:p>
    <w:p w:rsidR="00CC2CB4" w:rsidRDefault="00CC2CB4" w:rsidP="00AB7FF3">
      <w:pPr>
        <w:spacing w:line="240" w:lineRule="auto"/>
        <w:ind w:left="720"/>
      </w:pPr>
    </w:p>
    <w:p w:rsidR="00CC2CB4" w:rsidRPr="008F4439" w:rsidRDefault="00CC2CB4" w:rsidP="00AB7FF3">
      <w:pPr>
        <w:spacing w:line="240" w:lineRule="auto"/>
        <w:ind w:left="720"/>
      </w:pPr>
      <w:r>
        <w:t>Etc. for each Learning Outcome</w:t>
      </w:r>
    </w:p>
    <w:p w:rsidR="00CC2CB4" w:rsidRPr="00CC2CB4" w:rsidRDefault="00CC2CB4" w:rsidP="00CC2CB4">
      <w:pPr>
        <w:pStyle w:val="NoSpacing"/>
        <w:rPr>
          <w:rFonts w:ascii="Calibri" w:eastAsia="Times New Roman" w:hAnsi="Calibri" w:cs="Tahoma"/>
          <w:color w:val="444444"/>
        </w:rPr>
      </w:pPr>
    </w:p>
    <w:sectPr w:rsidR="00CC2CB4" w:rsidRPr="00CC2CB4" w:rsidSect="000946B0">
      <w:type w:val="continuous"/>
      <w:pgSz w:w="12240" w:h="15840"/>
      <w:pgMar w:top="54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1F" w:rsidRDefault="0087101F" w:rsidP="00CD403D">
      <w:pPr>
        <w:spacing w:after="0" w:line="240" w:lineRule="auto"/>
      </w:pPr>
      <w:r>
        <w:separator/>
      </w:r>
    </w:p>
  </w:endnote>
  <w:endnote w:type="continuationSeparator" w:id="0">
    <w:p w:rsidR="0087101F" w:rsidRDefault="0087101F" w:rsidP="00CD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1F" w:rsidRDefault="0087101F" w:rsidP="00CD403D">
      <w:pPr>
        <w:spacing w:after="0" w:line="240" w:lineRule="auto"/>
      </w:pPr>
      <w:r>
        <w:separator/>
      </w:r>
    </w:p>
  </w:footnote>
  <w:footnote w:type="continuationSeparator" w:id="0">
    <w:p w:rsidR="0087101F" w:rsidRDefault="0087101F" w:rsidP="00CD4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2E9"/>
    <w:multiLevelType w:val="hybridMultilevel"/>
    <w:tmpl w:val="77AC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1CAA"/>
    <w:multiLevelType w:val="hybridMultilevel"/>
    <w:tmpl w:val="CDE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E120D"/>
    <w:multiLevelType w:val="hybridMultilevel"/>
    <w:tmpl w:val="7596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80AEF"/>
    <w:multiLevelType w:val="hybridMultilevel"/>
    <w:tmpl w:val="602C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95018"/>
    <w:multiLevelType w:val="hybridMultilevel"/>
    <w:tmpl w:val="2FDA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C29B2"/>
    <w:multiLevelType w:val="hybridMultilevel"/>
    <w:tmpl w:val="8306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00E71"/>
    <w:multiLevelType w:val="hybridMultilevel"/>
    <w:tmpl w:val="AFF4D170"/>
    <w:lvl w:ilvl="0" w:tplc="6100C98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05C9D"/>
    <w:multiLevelType w:val="hybridMultilevel"/>
    <w:tmpl w:val="59767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692D36"/>
    <w:multiLevelType w:val="hybridMultilevel"/>
    <w:tmpl w:val="F68E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2"/>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49"/>
    <w:rsid w:val="00004864"/>
    <w:rsid w:val="00041B1B"/>
    <w:rsid w:val="00063674"/>
    <w:rsid w:val="000F2110"/>
    <w:rsid w:val="000F4525"/>
    <w:rsid w:val="00115DB4"/>
    <w:rsid w:val="00163EC1"/>
    <w:rsid w:val="00186C49"/>
    <w:rsid w:val="001C4371"/>
    <w:rsid w:val="001C6A55"/>
    <w:rsid w:val="001D6CBC"/>
    <w:rsid w:val="002259D7"/>
    <w:rsid w:val="00240D6A"/>
    <w:rsid w:val="00247CA2"/>
    <w:rsid w:val="002823FD"/>
    <w:rsid w:val="002A17D9"/>
    <w:rsid w:val="002C56CC"/>
    <w:rsid w:val="002F5DFA"/>
    <w:rsid w:val="00353EFC"/>
    <w:rsid w:val="0036795D"/>
    <w:rsid w:val="00385DD0"/>
    <w:rsid w:val="003A588E"/>
    <w:rsid w:val="003A5CE4"/>
    <w:rsid w:val="003C51D7"/>
    <w:rsid w:val="003D5738"/>
    <w:rsid w:val="003E762D"/>
    <w:rsid w:val="00424193"/>
    <w:rsid w:val="004264AA"/>
    <w:rsid w:val="00480AB3"/>
    <w:rsid w:val="004A32E9"/>
    <w:rsid w:val="004A5CAD"/>
    <w:rsid w:val="004A7DFF"/>
    <w:rsid w:val="00514BD1"/>
    <w:rsid w:val="00515F9C"/>
    <w:rsid w:val="005A11A7"/>
    <w:rsid w:val="005F1D35"/>
    <w:rsid w:val="00657390"/>
    <w:rsid w:val="00690E1E"/>
    <w:rsid w:val="006915AD"/>
    <w:rsid w:val="006A146F"/>
    <w:rsid w:val="006D0067"/>
    <w:rsid w:val="00703ED0"/>
    <w:rsid w:val="007410B3"/>
    <w:rsid w:val="007629E9"/>
    <w:rsid w:val="007714D2"/>
    <w:rsid w:val="0078157D"/>
    <w:rsid w:val="00782576"/>
    <w:rsid w:val="0079494F"/>
    <w:rsid w:val="007A0AC6"/>
    <w:rsid w:val="007F3802"/>
    <w:rsid w:val="00836D87"/>
    <w:rsid w:val="00866EBC"/>
    <w:rsid w:val="0087101F"/>
    <w:rsid w:val="008844F3"/>
    <w:rsid w:val="008B7542"/>
    <w:rsid w:val="0090445F"/>
    <w:rsid w:val="00930DBD"/>
    <w:rsid w:val="00942845"/>
    <w:rsid w:val="009464A8"/>
    <w:rsid w:val="009515E0"/>
    <w:rsid w:val="00952E21"/>
    <w:rsid w:val="00996E4D"/>
    <w:rsid w:val="00A126F2"/>
    <w:rsid w:val="00A30D35"/>
    <w:rsid w:val="00A812E4"/>
    <w:rsid w:val="00AB1158"/>
    <w:rsid w:val="00AB7FF3"/>
    <w:rsid w:val="00AC1CA4"/>
    <w:rsid w:val="00AF0FB2"/>
    <w:rsid w:val="00AF58BD"/>
    <w:rsid w:val="00B04309"/>
    <w:rsid w:val="00B045F8"/>
    <w:rsid w:val="00B13DCB"/>
    <w:rsid w:val="00B42075"/>
    <w:rsid w:val="00B83165"/>
    <w:rsid w:val="00BB5FAF"/>
    <w:rsid w:val="00C07544"/>
    <w:rsid w:val="00C10FB0"/>
    <w:rsid w:val="00C66255"/>
    <w:rsid w:val="00C706CE"/>
    <w:rsid w:val="00C750C0"/>
    <w:rsid w:val="00C93248"/>
    <w:rsid w:val="00C9351B"/>
    <w:rsid w:val="00CB040F"/>
    <w:rsid w:val="00CC2CB4"/>
    <w:rsid w:val="00CD39E3"/>
    <w:rsid w:val="00CD403D"/>
    <w:rsid w:val="00D0725F"/>
    <w:rsid w:val="00D314FE"/>
    <w:rsid w:val="00D54876"/>
    <w:rsid w:val="00D57652"/>
    <w:rsid w:val="00D715D5"/>
    <w:rsid w:val="00D8152D"/>
    <w:rsid w:val="00D91544"/>
    <w:rsid w:val="00DA2768"/>
    <w:rsid w:val="00DC4CC5"/>
    <w:rsid w:val="00DD7798"/>
    <w:rsid w:val="00E01245"/>
    <w:rsid w:val="00E340AB"/>
    <w:rsid w:val="00E37FC2"/>
    <w:rsid w:val="00E9057A"/>
    <w:rsid w:val="00F170A4"/>
    <w:rsid w:val="00F626FD"/>
    <w:rsid w:val="00F66362"/>
    <w:rsid w:val="00F75085"/>
    <w:rsid w:val="00F803F0"/>
    <w:rsid w:val="00FC1C70"/>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1658"/>
  <w15:chartTrackingRefBased/>
  <w15:docId w15:val="{64A6A6D1-8F36-4C4B-8A9B-DB5991CF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49"/>
  </w:style>
  <w:style w:type="paragraph" w:styleId="Heading3">
    <w:name w:val="heading 3"/>
    <w:basedOn w:val="Normal"/>
    <w:link w:val="Heading3Char"/>
    <w:uiPriority w:val="9"/>
    <w:qFormat/>
    <w:rsid w:val="00C932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49"/>
    <w:pPr>
      <w:spacing w:after="0" w:line="240" w:lineRule="auto"/>
    </w:pPr>
  </w:style>
  <w:style w:type="paragraph" w:styleId="ListParagraph">
    <w:name w:val="List Paragraph"/>
    <w:basedOn w:val="Normal"/>
    <w:uiPriority w:val="34"/>
    <w:qFormat/>
    <w:rsid w:val="00514BD1"/>
    <w:pPr>
      <w:ind w:left="720"/>
      <w:contextualSpacing/>
    </w:pPr>
  </w:style>
  <w:style w:type="table" w:styleId="TableGrid">
    <w:name w:val="Table Grid"/>
    <w:basedOn w:val="TableNormal"/>
    <w:uiPriority w:val="39"/>
    <w:rsid w:val="00514BD1"/>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40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3D"/>
    <w:rPr>
      <w:sz w:val="20"/>
      <w:szCs w:val="20"/>
    </w:rPr>
  </w:style>
  <w:style w:type="character" w:styleId="FootnoteReference">
    <w:name w:val="footnote reference"/>
    <w:basedOn w:val="DefaultParagraphFont"/>
    <w:uiPriority w:val="99"/>
    <w:semiHidden/>
    <w:unhideWhenUsed/>
    <w:rsid w:val="00CD403D"/>
    <w:rPr>
      <w:vertAlign w:val="superscript"/>
    </w:rPr>
  </w:style>
  <w:style w:type="character" w:customStyle="1" w:styleId="Heading3Char">
    <w:name w:val="Heading 3 Char"/>
    <w:basedOn w:val="DefaultParagraphFont"/>
    <w:link w:val="Heading3"/>
    <w:uiPriority w:val="9"/>
    <w:rsid w:val="00C932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32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248"/>
    <w:rPr>
      <w:color w:val="0000FF"/>
      <w:u w:val="single"/>
    </w:rPr>
  </w:style>
  <w:style w:type="character" w:styleId="FollowedHyperlink">
    <w:name w:val="FollowedHyperlink"/>
    <w:basedOn w:val="DefaultParagraphFont"/>
    <w:uiPriority w:val="99"/>
    <w:semiHidden/>
    <w:unhideWhenUsed/>
    <w:rsid w:val="00C93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77089">
      <w:bodyDiv w:val="1"/>
      <w:marLeft w:val="0"/>
      <w:marRight w:val="0"/>
      <w:marTop w:val="0"/>
      <w:marBottom w:val="0"/>
      <w:divBdr>
        <w:top w:val="none" w:sz="0" w:space="0" w:color="auto"/>
        <w:left w:val="none" w:sz="0" w:space="0" w:color="auto"/>
        <w:bottom w:val="none" w:sz="0" w:space="0" w:color="auto"/>
        <w:right w:val="none" w:sz="0" w:space="0" w:color="auto"/>
      </w:divBdr>
    </w:div>
    <w:div w:id="14200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E4BA097A5C4041816B62DC8234DA94"/>
        <w:category>
          <w:name w:val="General"/>
          <w:gallery w:val="placeholder"/>
        </w:category>
        <w:types>
          <w:type w:val="bbPlcHdr"/>
        </w:types>
        <w:behaviors>
          <w:behavior w:val="content"/>
        </w:behaviors>
        <w:guid w:val="{755EE3CB-EDC6-40A7-B1FA-91AAC08D4AE0}"/>
      </w:docPartPr>
      <w:docPartBody>
        <w:p w:rsidR="00757D11" w:rsidRDefault="00E37943" w:rsidP="00E37943">
          <w:pPr>
            <w:pStyle w:val="01E4BA097A5C4041816B62DC8234DA94"/>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43"/>
    <w:rsid w:val="00030754"/>
    <w:rsid w:val="00041B23"/>
    <w:rsid w:val="0014198D"/>
    <w:rsid w:val="00294452"/>
    <w:rsid w:val="00395C90"/>
    <w:rsid w:val="0041754D"/>
    <w:rsid w:val="004771A0"/>
    <w:rsid w:val="006C14A5"/>
    <w:rsid w:val="00757D11"/>
    <w:rsid w:val="00956DF4"/>
    <w:rsid w:val="00A962E0"/>
    <w:rsid w:val="00C61CE6"/>
    <w:rsid w:val="00C62E0D"/>
    <w:rsid w:val="00DD691C"/>
    <w:rsid w:val="00DE769A"/>
    <w:rsid w:val="00E37943"/>
    <w:rsid w:val="00E86459"/>
    <w:rsid w:val="00F4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E4BA097A5C4041816B62DC8234DA94">
    <w:name w:val="01E4BA097A5C4041816B62DC8234DA94"/>
    <w:rsid w:val="00E37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2124AE2-44C6-4262-8F79-90626703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Douglas Drabkin</cp:lastModifiedBy>
  <cp:revision>46</cp:revision>
  <dcterms:created xsi:type="dcterms:W3CDTF">2017-10-17T05:27:00Z</dcterms:created>
  <dcterms:modified xsi:type="dcterms:W3CDTF">2017-11-16T01:15:00Z</dcterms:modified>
</cp:coreProperties>
</file>