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8"/>
        <w:gridCol w:w="3600"/>
        <w:gridCol w:w="3078"/>
      </w:tblGrid>
      <w:tr w:rsidR="00947B56" w:rsidTr="008A70D7">
        <w:tc>
          <w:tcPr>
            <w:tcW w:w="4338" w:type="dxa"/>
          </w:tcPr>
          <w:p w:rsidR="00947B56" w:rsidRDefault="00947B56" w:rsidP="00947B56">
            <w:pPr>
              <w:spacing w:before="100" w:beforeAutospacing="1" w:after="100" w:afterAutospacing="1"/>
              <w:rPr>
                <w:rFonts w:ascii="Arial" w:hAnsi="Arial" w:cs="Arial"/>
                <w:b/>
                <w:bCs/>
                <w:color w:val="000000"/>
                <w:sz w:val="28"/>
                <w:szCs w:val="28"/>
              </w:rPr>
            </w:pPr>
            <w:bookmarkStart w:id="0" w:name="_GoBack"/>
            <w:bookmarkEnd w:id="0"/>
            <w:r>
              <w:rPr>
                <w:rFonts w:ascii="Open Sans" w:hAnsi="Open Sans"/>
                <w:noProof/>
                <w:color w:val="000000"/>
                <w:sz w:val="23"/>
                <w:szCs w:val="23"/>
              </w:rPr>
              <w:drawing>
                <wp:inline distT="0" distB="0" distL="0" distR="0" wp14:anchorId="39760A46" wp14:editId="0074F214">
                  <wp:extent cx="2809875" cy="1123950"/>
                  <wp:effectExtent l="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7538" cy="1127015"/>
                          </a:xfrm>
                          <a:prstGeom prst="rect">
                            <a:avLst/>
                          </a:prstGeom>
                          <a:noFill/>
                          <a:ln>
                            <a:noFill/>
                          </a:ln>
                        </pic:spPr>
                      </pic:pic>
                    </a:graphicData>
                  </a:graphic>
                </wp:inline>
              </w:drawing>
            </w:r>
          </w:p>
        </w:tc>
        <w:tc>
          <w:tcPr>
            <w:tcW w:w="3600" w:type="dxa"/>
          </w:tcPr>
          <w:p w:rsidR="00947B56" w:rsidRPr="00947B56" w:rsidRDefault="00947B56" w:rsidP="00947B56">
            <w:pPr>
              <w:jc w:val="right"/>
              <w:rPr>
                <w:b/>
              </w:rPr>
            </w:pPr>
          </w:p>
        </w:tc>
        <w:tc>
          <w:tcPr>
            <w:tcW w:w="3078" w:type="dxa"/>
          </w:tcPr>
          <w:p w:rsidR="00947B56" w:rsidRPr="00EB0D57" w:rsidRDefault="00947B56" w:rsidP="008A70D7">
            <w:pPr>
              <w:spacing w:before="100" w:beforeAutospacing="1" w:after="100" w:afterAutospacing="1"/>
              <w:jc w:val="right"/>
              <w:rPr>
                <w:b/>
                <w:bCs/>
                <w:i/>
                <w:color w:val="000000"/>
              </w:rPr>
            </w:pPr>
          </w:p>
        </w:tc>
      </w:tr>
    </w:tbl>
    <w:p w:rsidR="00463389" w:rsidRPr="00947B56" w:rsidRDefault="0066253F">
      <w:pPr>
        <w:rPr>
          <w:rFonts w:ascii="Times New Roman" w:hAnsi="Times New Roman" w:cs="Times New Roman"/>
          <w:i/>
          <w:sz w:val="24"/>
          <w:szCs w:val="24"/>
        </w:rPr>
      </w:pPr>
      <w:r w:rsidRPr="0066253F">
        <w:rPr>
          <w:rFonts w:ascii="Times New Roman" w:hAnsi="Times New Roman" w:cs="Times New Roman"/>
          <w:b/>
          <w:sz w:val="24"/>
          <w:szCs w:val="24"/>
        </w:rPr>
        <w:t>F</w:t>
      </w:r>
      <w:r w:rsidR="00947B56">
        <w:rPr>
          <w:rFonts w:ascii="Times New Roman" w:hAnsi="Times New Roman" w:cs="Times New Roman"/>
          <w:b/>
          <w:sz w:val="24"/>
          <w:szCs w:val="24"/>
        </w:rPr>
        <w:t xml:space="preserve">ort Hays State University </w:t>
      </w:r>
      <w:r w:rsidRPr="0066253F">
        <w:rPr>
          <w:rFonts w:ascii="Times New Roman" w:hAnsi="Times New Roman" w:cs="Times New Roman"/>
          <w:b/>
          <w:sz w:val="24"/>
          <w:szCs w:val="24"/>
        </w:rPr>
        <w:t>Return of Unearned T</w:t>
      </w:r>
      <w:r w:rsidR="00947B56">
        <w:rPr>
          <w:rFonts w:ascii="Times New Roman" w:hAnsi="Times New Roman" w:cs="Times New Roman"/>
          <w:b/>
          <w:sz w:val="24"/>
          <w:szCs w:val="24"/>
        </w:rPr>
        <w:t xml:space="preserve">uition </w:t>
      </w:r>
      <w:r w:rsidRPr="0066253F">
        <w:rPr>
          <w:rFonts w:ascii="Times New Roman" w:hAnsi="Times New Roman" w:cs="Times New Roman"/>
          <w:b/>
          <w:sz w:val="24"/>
          <w:szCs w:val="24"/>
        </w:rPr>
        <w:t>A</w:t>
      </w:r>
      <w:r w:rsidR="00947B56">
        <w:rPr>
          <w:rFonts w:ascii="Times New Roman" w:hAnsi="Times New Roman" w:cs="Times New Roman"/>
          <w:b/>
          <w:sz w:val="24"/>
          <w:szCs w:val="24"/>
        </w:rPr>
        <w:t>ssistance</w:t>
      </w:r>
      <w:r w:rsidRPr="0066253F">
        <w:rPr>
          <w:rFonts w:ascii="Times New Roman" w:hAnsi="Times New Roman" w:cs="Times New Roman"/>
          <w:b/>
          <w:sz w:val="24"/>
          <w:szCs w:val="24"/>
        </w:rPr>
        <w:t xml:space="preserve"> Funds </w:t>
      </w:r>
      <w:proofErr w:type="gramStart"/>
      <w:r w:rsidRPr="0066253F">
        <w:rPr>
          <w:rFonts w:ascii="Times New Roman" w:hAnsi="Times New Roman" w:cs="Times New Roman"/>
          <w:b/>
          <w:sz w:val="24"/>
          <w:szCs w:val="24"/>
        </w:rPr>
        <w:t>Policy</w:t>
      </w:r>
      <w:proofErr w:type="gramEnd"/>
      <w:r w:rsidR="00947B56">
        <w:rPr>
          <w:rFonts w:ascii="Times New Roman" w:hAnsi="Times New Roman" w:cs="Times New Roman"/>
          <w:b/>
          <w:sz w:val="24"/>
          <w:szCs w:val="24"/>
        </w:rPr>
        <w:br/>
      </w:r>
      <w:r w:rsidR="00947B56">
        <w:rPr>
          <w:rFonts w:ascii="Times New Roman" w:hAnsi="Times New Roman" w:cs="Times New Roman"/>
          <w:i/>
          <w:sz w:val="24"/>
          <w:szCs w:val="24"/>
        </w:rPr>
        <w:t>(Effective Fall 2017)</w:t>
      </w:r>
    </w:p>
    <w:p w:rsidR="0066253F" w:rsidRDefault="0066253F">
      <w:pPr>
        <w:rPr>
          <w:rFonts w:ascii="Times New Roman" w:hAnsi="Times New Roman" w:cs="Times New Roman"/>
          <w:sz w:val="24"/>
          <w:szCs w:val="24"/>
        </w:rPr>
      </w:pPr>
      <w:r>
        <w:rPr>
          <w:rFonts w:ascii="Times New Roman" w:hAnsi="Times New Roman" w:cs="Times New Roman"/>
          <w:sz w:val="24"/>
          <w:szCs w:val="24"/>
        </w:rPr>
        <w:tab/>
        <w:t xml:space="preserve">In accordance with the Department of Defense Voluntary Education Partnership Memorandum of Understanding, this policy sets forth the stipulations by which the institution will adhere to return any unearned tuition assistance (TA) funds on a proportional basis through the 60% mark of an academic course. TA funds are earned proportionally during an enrolled period with the unearned funds returned to the military branch </w:t>
      </w:r>
      <w:r w:rsidR="00ED22AD">
        <w:rPr>
          <w:rFonts w:ascii="Times New Roman" w:hAnsi="Times New Roman" w:cs="Times New Roman"/>
          <w:sz w:val="24"/>
          <w:szCs w:val="24"/>
        </w:rPr>
        <w:t>from which the funds were provided, if</w:t>
      </w:r>
      <w:r>
        <w:rPr>
          <w:rFonts w:ascii="Times New Roman" w:hAnsi="Times New Roman" w:cs="Times New Roman"/>
          <w:sz w:val="24"/>
          <w:szCs w:val="24"/>
        </w:rPr>
        <w:t xml:space="preserve"> the student’s last day of attendance is on or before the 60% attendance date.</w:t>
      </w:r>
    </w:p>
    <w:p w:rsidR="0066253F" w:rsidRDefault="00ED22AD" w:rsidP="0066253F">
      <w:pPr>
        <w:ind w:firstLine="720"/>
        <w:rPr>
          <w:rFonts w:ascii="Times New Roman" w:hAnsi="Times New Roman" w:cs="Times New Roman"/>
          <w:sz w:val="24"/>
          <w:szCs w:val="24"/>
        </w:rPr>
      </w:pPr>
      <w:r>
        <w:rPr>
          <w:rFonts w:ascii="Times New Roman" w:hAnsi="Times New Roman" w:cs="Times New Roman"/>
          <w:sz w:val="24"/>
          <w:szCs w:val="24"/>
        </w:rPr>
        <w:t>One hundred percent</w:t>
      </w:r>
      <w:r w:rsidR="0066253F">
        <w:rPr>
          <w:rFonts w:ascii="Times New Roman" w:hAnsi="Times New Roman" w:cs="Times New Roman"/>
          <w:sz w:val="24"/>
          <w:szCs w:val="24"/>
        </w:rPr>
        <w:t xml:space="preserve"> of the tuition assistance will have been earned by the institution should the student’s last date of attendance pass the 60% completion mark. Calculation of these dates includes weekends during the course period, but not scheduled breaks of five consecutive days or more (Fall Break, Spring Break, etc.). A student’s official withdrawal date is determined when a student requests to be dropped from a course or no longer meets the attendance requirements to remain eligible to TA funding. The Last Date of Attendance (LDA) is provided by the course instructor when a student officially withdraws from the class or receives a “U” grade for the class.</w:t>
      </w:r>
    </w:p>
    <w:p w:rsidR="002630E7" w:rsidRDefault="0066253F" w:rsidP="0066253F">
      <w:pPr>
        <w:ind w:firstLine="720"/>
        <w:rPr>
          <w:rFonts w:ascii="Times New Roman" w:hAnsi="Times New Roman" w:cs="Times New Roman"/>
          <w:sz w:val="24"/>
          <w:szCs w:val="24"/>
        </w:rPr>
      </w:pPr>
      <w:r>
        <w:rPr>
          <w:rFonts w:ascii="Times New Roman" w:hAnsi="Times New Roman" w:cs="Times New Roman"/>
          <w:sz w:val="24"/>
          <w:szCs w:val="24"/>
        </w:rPr>
        <w:t>The standard formula for determining the amount of TA earned by the institution is calculated on a percentage basis</w:t>
      </w:r>
      <w:r w:rsidR="002630E7">
        <w:rPr>
          <w:rFonts w:ascii="Times New Roman" w:hAnsi="Times New Roman" w:cs="Times New Roman"/>
          <w:sz w:val="24"/>
          <w:szCs w:val="24"/>
        </w:rPr>
        <w:t>, as follows:</w:t>
      </w:r>
    </w:p>
    <w:p w:rsidR="002630E7" w:rsidRDefault="002630E7" w:rsidP="0066253F">
      <w:pPr>
        <w:ind w:firstLine="720"/>
        <w:rPr>
          <w:rFonts w:ascii="Times New Roman" w:hAnsi="Times New Roman" w:cs="Times New Roman"/>
          <w:sz w:val="24"/>
          <w:szCs w:val="24"/>
        </w:rPr>
      </w:pPr>
      <w:r>
        <w:rPr>
          <w:rFonts w:ascii="Times New Roman" w:hAnsi="Times New Roman" w:cs="Times New Roman"/>
          <w:sz w:val="24"/>
          <w:szCs w:val="24"/>
        </w:rPr>
        <w:t>8-week Course Withdraw submitted</w:t>
      </w:r>
      <w:r w:rsidR="008D0549">
        <w:rPr>
          <w:rFonts w:ascii="Times New Roman" w:hAnsi="Times New Roman" w:cs="Times New Roman"/>
          <w:sz w:val="24"/>
          <w:szCs w:val="24"/>
        </w:rPr>
        <w:t xml:space="preserve"> and LDA confirmed</w:t>
      </w:r>
      <w:r>
        <w:rPr>
          <w:rFonts w:ascii="Times New Roman" w:hAnsi="Times New Roman" w:cs="Times New Roman"/>
          <w:sz w:val="24"/>
          <w:szCs w:val="24"/>
        </w:rPr>
        <w:t>:</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lastRenderedPageBreak/>
        <w:t xml:space="preserve">Before or during week 1 </w:t>
      </w:r>
      <w:r>
        <w:rPr>
          <w:rFonts w:ascii="Times New Roman" w:hAnsi="Times New Roman" w:cs="Times New Roman"/>
          <w:sz w:val="24"/>
          <w:szCs w:val="24"/>
        </w:rPr>
        <w:tab/>
        <w:t>100%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75%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3-4</w:t>
      </w:r>
      <w:r>
        <w:rPr>
          <w:rFonts w:ascii="Times New Roman" w:hAnsi="Times New Roman" w:cs="Times New Roman"/>
          <w:sz w:val="24"/>
          <w:szCs w:val="24"/>
        </w:rPr>
        <w:tab/>
      </w:r>
      <w:r>
        <w:rPr>
          <w:rFonts w:ascii="Times New Roman" w:hAnsi="Times New Roman" w:cs="Times New Roman"/>
          <w:sz w:val="24"/>
          <w:szCs w:val="24"/>
        </w:rPr>
        <w:tab/>
        <w:t>50%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40% return </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6-8</w:t>
      </w:r>
      <w:r>
        <w:rPr>
          <w:rFonts w:ascii="Times New Roman" w:hAnsi="Times New Roman" w:cs="Times New Roman"/>
          <w:sz w:val="24"/>
          <w:szCs w:val="24"/>
        </w:rPr>
        <w:tab/>
      </w:r>
      <w:r>
        <w:rPr>
          <w:rFonts w:ascii="Times New Roman" w:hAnsi="Times New Roman" w:cs="Times New Roman"/>
          <w:sz w:val="24"/>
          <w:szCs w:val="24"/>
        </w:rPr>
        <w:tab/>
        <w:t>0% return</w:t>
      </w:r>
      <w:r w:rsidR="0063026E">
        <w:rPr>
          <w:rFonts w:ascii="Times New Roman" w:hAnsi="Times New Roman" w:cs="Times New Roman"/>
          <w:sz w:val="24"/>
          <w:szCs w:val="24"/>
        </w:rPr>
        <w:t xml:space="preserve"> (more than 60% of course is completed)</w:t>
      </w:r>
    </w:p>
    <w:p w:rsidR="00A3408A" w:rsidRDefault="00A3408A" w:rsidP="00A3408A">
      <w:pPr>
        <w:spacing w:after="0" w:line="240" w:lineRule="auto"/>
        <w:ind w:left="720" w:firstLine="720"/>
        <w:rPr>
          <w:rFonts w:ascii="Times New Roman" w:hAnsi="Times New Roman" w:cs="Times New Roman"/>
          <w:sz w:val="24"/>
          <w:szCs w:val="24"/>
        </w:rPr>
      </w:pPr>
    </w:p>
    <w:p w:rsidR="002630E7" w:rsidRDefault="002630E7" w:rsidP="00A3408A">
      <w:pPr>
        <w:ind w:firstLine="720"/>
        <w:rPr>
          <w:rFonts w:ascii="Times New Roman" w:hAnsi="Times New Roman" w:cs="Times New Roman"/>
          <w:sz w:val="24"/>
          <w:szCs w:val="24"/>
        </w:rPr>
      </w:pPr>
      <w:r>
        <w:rPr>
          <w:rFonts w:ascii="Times New Roman" w:hAnsi="Times New Roman" w:cs="Times New Roman"/>
          <w:sz w:val="24"/>
          <w:szCs w:val="24"/>
        </w:rPr>
        <w:t>16-week Course Withdraw submitted</w:t>
      </w:r>
      <w:r w:rsidR="008D0549">
        <w:rPr>
          <w:rFonts w:ascii="Times New Roman" w:hAnsi="Times New Roman" w:cs="Times New Roman"/>
          <w:sz w:val="24"/>
          <w:szCs w:val="24"/>
        </w:rPr>
        <w:t xml:space="preserve"> and LDA confirmed</w:t>
      </w:r>
      <w:r>
        <w:rPr>
          <w:rFonts w:ascii="Times New Roman" w:hAnsi="Times New Roman" w:cs="Times New Roman"/>
          <w:sz w:val="24"/>
          <w:szCs w:val="24"/>
        </w:rPr>
        <w:t>:</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Before or during weeks 1-2</w:t>
      </w:r>
      <w:r>
        <w:rPr>
          <w:rFonts w:ascii="Times New Roman" w:hAnsi="Times New Roman" w:cs="Times New Roman"/>
          <w:sz w:val="24"/>
          <w:szCs w:val="24"/>
        </w:rPr>
        <w:tab/>
        <w:t>100%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3-4</w:t>
      </w:r>
      <w:r>
        <w:rPr>
          <w:rFonts w:ascii="Times New Roman" w:hAnsi="Times New Roman" w:cs="Times New Roman"/>
          <w:sz w:val="24"/>
          <w:szCs w:val="24"/>
        </w:rPr>
        <w:tab/>
      </w:r>
      <w:r>
        <w:rPr>
          <w:rFonts w:ascii="Times New Roman" w:hAnsi="Times New Roman" w:cs="Times New Roman"/>
          <w:sz w:val="24"/>
          <w:szCs w:val="24"/>
        </w:rPr>
        <w:tab/>
        <w:t>75%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5-8</w:t>
      </w:r>
      <w:r>
        <w:rPr>
          <w:rFonts w:ascii="Times New Roman" w:hAnsi="Times New Roman" w:cs="Times New Roman"/>
          <w:sz w:val="24"/>
          <w:szCs w:val="24"/>
        </w:rPr>
        <w:tab/>
      </w:r>
      <w:r>
        <w:rPr>
          <w:rFonts w:ascii="Times New Roman" w:hAnsi="Times New Roman" w:cs="Times New Roman"/>
          <w:sz w:val="24"/>
          <w:szCs w:val="24"/>
        </w:rPr>
        <w:tab/>
        <w:t>50%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9-10</w:t>
      </w:r>
      <w:r>
        <w:rPr>
          <w:rFonts w:ascii="Times New Roman" w:hAnsi="Times New Roman" w:cs="Times New Roman"/>
          <w:sz w:val="24"/>
          <w:szCs w:val="24"/>
        </w:rPr>
        <w:tab/>
      </w:r>
      <w:r>
        <w:rPr>
          <w:rFonts w:ascii="Times New Roman" w:hAnsi="Times New Roman" w:cs="Times New Roman"/>
          <w:sz w:val="24"/>
          <w:szCs w:val="24"/>
        </w:rPr>
        <w:tab/>
        <w:t>40% return</w:t>
      </w:r>
    </w:p>
    <w:p w:rsidR="002630E7" w:rsidRDefault="002630E7" w:rsidP="00A3408A">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During weeks 11-16</w:t>
      </w:r>
      <w:r>
        <w:rPr>
          <w:rFonts w:ascii="Times New Roman" w:hAnsi="Times New Roman" w:cs="Times New Roman"/>
          <w:sz w:val="24"/>
          <w:szCs w:val="24"/>
        </w:rPr>
        <w:tab/>
      </w:r>
      <w:r>
        <w:rPr>
          <w:rFonts w:ascii="Times New Roman" w:hAnsi="Times New Roman" w:cs="Times New Roman"/>
          <w:sz w:val="24"/>
          <w:szCs w:val="24"/>
        </w:rPr>
        <w:tab/>
        <w:t>0% return</w:t>
      </w:r>
      <w:r w:rsidR="0063026E">
        <w:rPr>
          <w:rFonts w:ascii="Times New Roman" w:hAnsi="Times New Roman" w:cs="Times New Roman"/>
          <w:sz w:val="24"/>
          <w:szCs w:val="24"/>
        </w:rPr>
        <w:t xml:space="preserve"> (more than 60% of course is completed)</w:t>
      </w:r>
    </w:p>
    <w:p w:rsidR="00A3408A" w:rsidRDefault="00A3408A" w:rsidP="00A3408A">
      <w:pPr>
        <w:spacing w:after="0" w:line="240" w:lineRule="auto"/>
        <w:ind w:left="720" w:firstLine="720"/>
        <w:rPr>
          <w:rFonts w:ascii="Times New Roman" w:hAnsi="Times New Roman" w:cs="Times New Roman"/>
          <w:sz w:val="24"/>
          <w:szCs w:val="24"/>
        </w:rPr>
      </w:pPr>
    </w:p>
    <w:p w:rsidR="0066253F" w:rsidRDefault="00F83F28" w:rsidP="00A3408A">
      <w:pPr>
        <w:rPr>
          <w:rFonts w:ascii="Times New Roman" w:hAnsi="Times New Roman" w:cs="Times New Roman"/>
          <w:sz w:val="24"/>
          <w:szCs w:val="24"/>
        </w:rPr>
      </w:pPr>
      <w:r>
        <w:rPr>
          <w:rFonts w:ascii="Times New Roman" w:hAnsi="Times New Roman" w:cs="Times New Roman"/>
          <w:sz w:val="24"/>
          <w:szCs w:val="24"/>
        </w:rPr>
        <w:t>This calculation, if less than the 60% completion rate, determines how much TA the student has</w:t>
      </w:r>
      <w:r w:rsidR="00ED22AD">
        <w:rPr>
          <w:rFonts w:ascii="Times New Roman" w:hAnsi="Times New Roman" w:cs="Times New Roman"/>
          <w:sz w:val="24"/>
          <w:szCs w:val="24"/>
        </w:rPr>
        <w:t xml:space="preserve"> earned</w:t>
      </w:r>
      <w:r>
        <w:rPr>
          <w:rFonts w:ascii="Times New Roman" w:hAnsi="Times New Roman" w:cs="Times New Roman"/>
          <w:sz w:val="24"/>
          <w:szCs w:val="24"/>
        </w:rPr>
        <w:t xml:space="preserve"> and </w:t>
      </w:r>
      <w:r w:rsidR="00ED22AD">
        <w:rPr>
          <w:rFonts w:ascii="Times New Roman" w:hAnsi="Times New Roman" w:cs="Times New Roman"/>
          <w:sz w:val="24"/>
          <w:szCs w:val="24"/>
        </w:rPr>
        <w:t xml:space="preserve">for </w:t>
      </w:r>
      <w:r>
        <w:rPr>
          <w:rFonts w:ascii="Times New Roman" w:hAnsi="Times New Roman" w:cs="Times New Roman"/>
          <w:sz w:val="24"/>
          <w:szCs w:val="24"/>
        </w:rPr>
        <w:t>how much the military br</w:t>
      </w:r>
      <w:r w:rsidR="00ED22AD">
        <w:rPr>
          <w:rFonts w:ascii="Times New Roman" w:hAnsi="Times New Roman" w:cs="Times New Roman"/>
          <w:sz w:val="24"/>
          <w:szCs w:val="24"/>
        </w:rPr>
        <w:t>anch may be invoiced</w:t>
      </w:r>
      <w:r>
        <w:rPr>
          <w:rFonts w:ascii="Times New Roman" w:hAnsi="Times New Roman" w:cs="Times New Roman"/>
          <w:sz w:val="24"/>
          <w:szCs w:val="24"/>
        </w:rPr>
        <w:t>. Should there be any remaining TA funds prior to the 60% period of a course, these funds will be reimbursed directly to the military branch</w:t>
      </w:r>
      <w:r w:rsidR="00ED22AD">
        <w:rPr>
          <w:rFonts w:ascii="Times New Roman" w:hAnsi="Times New Roman" w:cs="Times New Roman"/>
          <w:sz w:val="24"/>
          <w:szCs w:val="24"/>
        </w:rPr>
        <w:t xml:space="preserve"> from which the funds were provided</w:t>
      </w:r>
      <w:r>
        <w:rPr>
          <w:rFonts w:ascii="Times New Roman" w:hAnsi="Times New Roman" w:cs="Times New Roman"/>
          <w:sz w:val="24"/>
          <w:szCs w:val="24"/>
        </w:rPr>
        <w:t>, not to the student.</w:t>
      </w:r>
    </w:p>
    <w:p w:rsidR="00F83F28" w:rsidRDefault="00ED22AD" w:rsidP="00F83F28">
      <w:pPr>
        <w:rPr>
          <w:rFonts w:ascii="Times New Roman" w:hAnsi="Times New Roman" w:cs="Times New Roman"/>
          <w:sz w:val="24"/>
          <w:szCs w:val="24"/>
        </w:rPr>
      </w:pPr>
      <w:r>
        <w:rPr>
          <w:rFonts w:ascii="Times New Roman" w:hAnsi="Times New Roman" w:cs="Times New Roman"/>
          <w:sz w:val="24"/>
          <w:szCs w:val="24"/>
        </w:rPr>
        <w:tab/>
        <w:t>FHSU will begin the</w:t>
      </w:r>
      <w:r w:rsidR="00F83F28">
        <w:rPr>
          <w:rFonts w:ascii="Times New Roman" w:hAnsi="Times New Roman" w:cs="Times New Roman"/>
          <w:sz w:val="24"/>
          <w:szCs w:val="24"/>
        </w:rPr>
        <w:t xml:space="preserve"> Return of Tuition Assistance Funds calculation</w:t>
      </w:r>
      <w:r>
        <w:rPr>
          <w:rFonts w:ascii="Times New Roman" w:hAnsi="Times New Roman" w:cs="Times New Roman"/>
          <w:sz w:val="24"/>
          <w:szCs w:val="24"/>
        </w:rPr>
        <w:t xml:space="preserve"> proces</w:t>
      </w:r>
      <w:r w:rsidR="000622C9">
        <w:rPr>
          <w:rFonts w:ascii="Times New Roman" w:hAnsi="Times New Roman" w:cs="Times New Roman"/>
          <w:sz w:val="24"/>
          <w:szCs w:val="24"/>
        </w:rPr>
        <w:t>s</w:t>
      </w:r>
      <w:r w:rsidR="00F83F28">
        <w:rPr>
          <w:rFonts w:ascii="Times New Roman" w:hAnsi="Times New Roman" w:cs="Times New Roman"/>
          <w:sz w:val="24"/>
          <w:szCs w:val="24"/>
        </w:rPr>
        <w:t xml:space="preserve"> when a tuition assistance recipient withdraws from a course. In some cases, this process may result in a student owing the school for unpaid tuition and fees. Though a student may withdraw from the university at any time through </w:t>
      </w:r>
      <w:proofErr w:type="spellStart"/>
      <w:r w:rsidR="00F83F28">
        <w:rPr>
          <w:rFonts w:ascii="Times New Roman" w:hAnsi="Times New Roman" w:cs="Times New Roman"/>
          <w:sz w:val="24"/>
          <w:szCs w:val="24"/>
        </w:rPr>
        <w:t>TigerEnroll</w:t>
      </w:r>
      <w:proofErr w:type="spellEnd"/>
      <w:r>
        <w:rPr>
          <w:rFonts w:ascii="Times New Roman" w:hAnsi="Times New Roman" w:cs="Times New Roman"/>
          <w:sz w:val="24"/>
          <w:szCs w:val="24"/>
        </w:rPr>
        <w:t>,</w:t>
      </w:r>
      <w:r w:rsidR="00F83F28">
        <w:rPr>
          <w:rFonts w:ascii="Times New Roman" w:hAnsi="Times New Roman" w:cs="Times New Roman"/>
          <w:sz w:val="24"/>
          <w:szCs w:val="24"/>
        </w:rPr>
        <w:t xml:space="preserve"> it is highly recommended that the student speak with an advisor</w:t>
      </w:r>
      <w:r>
        <w:rPr>
          <w:rFonts w:ascii="Times New Roman" w:hAnsi="Times New Roman" w:cs="Times New Roman"/>
          <w:sz w:val="24"/>
          <w:szCs w:val="24"/>
        </w:rPr>
        <w:t xml:space="preserve"> and Student Fiscal Services</w:t>
      </w:r>
      <w:r w:rsidR="00F83F28">
        <w:rPr>
          <w:rFonts w:ascii="Times New Roman" w:hAnsi="Times New Roman" w:cs="Times New Roman"/>
          <w:sz w:val="24"/>
          <w:szCs w:val="24"/>
        </w:rPr>
        <w:t xml:space="preserve"> prior to withdrawing.</w:t>
      </w:r>
    </w:p>
    <w:p w:rsidR="00F83F28" w:rsidRDefault="00F83F28" w:rsidP="00F83F28">
      <w:pPr>
        <w:rPr>
          <w:rFonts w:ascii="Times New Roman" w:hAnsi="Times New Roman" w:cs="Times New Roman"/>
          <w:sz w:val="24"/>
          <w:szCs w:val="24"/>
        </w:rPr>
      </w:pPr>
      <w:r>
        <w:rPr>
          <w:rFonts w:ascii="Times New Roman" w:hAnsi="Times New Roman" w:cs="Times New Roman"/>
          <w:sz w:val="24"/>
          <w:szCs w:val="24"/>
        </w:rPr>
        <w:tab/>
        <w:t>If a service member stops attending due to a military service obligation, FHSU will work with the affected service member to identify solutions that will mitigate any student debt the student might have had through the Return of Tuition Assistance Funds process.</w:t>
      </w:r>
    </w:p>
    <w:p w:rsidR="00947B56" w:rsidRPr="0066253F" w:rsidRDefault="00947B56" w:rsidP="00F83F28">
      <w:pPr>
        <w:rPr>
          <w:rFonts w:ascii="Times New Roman" w:hAnsi="Times New Roman" w:cs="Times New Roman"/>
          <w:sz w:val="24"/>
          <w:szCs w:val="24"/>
        </w:rPr>
      </w:pPr>
      <w:r>
        <w:rPr>
          <w:rFonts w:ascii="Times New Roman" w:hAnsi="Times New Roman" w:cs="Times New Roman"/>
          <w:sz w:val="24"/>
          <w:szCs w:val="24"/>
        </w:rPr>
        <w:lastRenderedPageBreak/>
        <w:tab/>
        <w:t xml:space="preserve">Questions relating to this policy may be directed to Student Fiscal Services, 317 Picken Hall, 600 Park Street, Hays, KS  67601; (785) 628-5922. </w:t>
      </w:r>
    </w:p>
    <w:sectPr w:rsidR="00947B56" w:rsidRPr="0066253F" w:rsidSect="00947B5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1CC" w:rsidRDefault="00BD11CC" w:rsidP="00B2429A">
      <w:pPr>
        <w:spacing w:after="0" w:line="240" w:lineRule="auto"/>
      </w:pPr>
      <w:r>
        <w:separator/>
      </w:r>
    </w:p>
  </w:endnote>
  <w:endnote w:type="continuationSeparator" w:id="0">
    <w:p w:rsidR="00BD11CC" w:rsidRDefault="00BD11CC" w:rsidP="00B24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B56" w:rsidRDefault="00947B56">
    <w:pPr>
      <w:pStyle w:val="Footer"/>
    </w:pPr>
  </w:p>
  <w:p w:rsidR="00B2429A" w:rsidRDefault="00B24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1CC" w:rsidRDefault="00BD11CC" w:rsidP="00B2429A">
      <w:pPr>
        <w:spacing w:after="0" w:line="240" w:lineRule="auto"/>
      </w:pPr>
      <w:r>
        <w:separator/>
      </w:r>
    </w:p>
  </w:footnote>
  <w:footnote w:type="continuationSeparator" w:id="0">
    <w:p w:rsidR="00BD11CC" w:rsidRDefault="00BD11CC" w:rsidP="00B2429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3F"/>
    <w:rsid w:val="000622C9"/>
    <w:rsid w:val="001828C9"/>
    <w:rsid w:val="002630E7"/>
    <w:rsid w:val="0030428C"/>
    <w:rsid w:val="00463389"/>
    <w:rsid w:val="005F345D"/>
    <w:rsid w:val="0063026E"/>
    <w:rsid w:val="0066253F"/>
    <w:rsid w:val="008D0549"/>
    <w:rsid w:val="00947B56"/>
    <w:rsid w:val="00A3408A"/>
    <w:rsid w:val="00B2429A"/>
    <w:rsid w:val="00BD11CC"/>
    <w:rsid w:val="00E347D1"/>
    <w:rsid w:val="00ED22AD"/>
    <w:rsid w:val="00F83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4D35DC2-7946-440B-84A0-9921D5EE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29A"/>
  </w:style>
  <w:style w:type="paragraph" w:styleId="Footer">
    <w:name w:val="footer"/>
    <w:basedOn w:val="Normal"/>
    <w:link w:val="FooterChar"/>
    <w:uiPriority w:val="99"/>
    <w:unhideWhenUsed/>
    <w:rsid w:val="00B24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29A"/>
  </w:style>
  <w:style w:type="table" w:styleId="TableGrid">
    <w:name w:val="Table Grid"/>
    <w:basedOn w:val="TableNormal"/>
    <w:rsid w:val="00947B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7B367-6CF8-428C-8E49-4C008FCF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2662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Fort Hays State University</Company>
  <LinksUpToDate>false</LinksUpToDate>
  <CharactersWithSpaces>3122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 Broadway</dc:creator>
  <cp:keywords/>
  <dc:description/>
  <cp:lastModifiedBy>Kelsi Broadway</cp:lastModifiedBy>
  <cp:revision>2</cp:revision>
  <dcterms:created xsi:type="dcterms:W3CDTF">2017-08-07T13:02:00Z</dcterms:created>
  <dcterms:modified xsi:type="dcterms:W3CDTF">2017-08-07T13:02:00Z</dcterms:modified>
</cp:coreProperties>
</file>