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11F6" w14:textId="7F8E0454" w:rsidR="00732ACA" w:rsidRPr="009D1982" w:rsidRDefault="009D1982" w:rsidP="009D1982">
      <w:pPr>
        <w:pStyle w:val="Heading1"/>
        <w:jc w:val="center"/>
        <w:rPr>
          <w:color w:val="auto"/>
        </w:rPr>
      </w:pPr>
      <w:r w:rsidRPr="009D1982">
        <w:rPr>
          <w:color w:val="auto"/>
        </w:rPr>
        <w:t>NIH Other Support Disclosure</w:t>
      </w:r>
    </w:p>
    <w:p w14:paraId="7148423B" w14:textId="77777777" w:rsidR="009D1982" w:rsidRPr="009D1982" w:rsidRDefault="009D1982" w:rsidP="009D1982">
      <w:pPr>
        <w:pStyle w:val="Heading2"/>
        <w:rPr>
          <w:b/>
          <w:bCs/>
          <w:color w:val="auto"/>
        </w:rPr>
      </w:pPr>
      <w:r w:rsidRPr="009D1982">
        <w:rPr>
          <w:b/>
          <w:bCs/>
          <w:color w:val="auto"/>
        </w:rPr>
        <w:t>Purpose</w:t>
      </w:r>
    </w:p>
    <w:p w14:paraId="5F00D5CF" w14:textId="77777777" w:rsidR="009D1982" w:rsidRPr="009D1982" w:rsidRDefault="009D1982" w:rsidP="009D1982"/>
    <w:p w14:paraId="7C21BC94" w14:textId="504AC1FD" w:rsidR="009D1982" w:rsidRPr="009D1982" w:rsidRDefault="009D1982" w:rsidP="009D1982">
      <w:r w:rsidRPr="009D1982">
        <w:t>To ensure full compliance with NIH requirements for the disclosure of Other Support in grant applications and progress reports. This policy safeguards research integrity, transparency, and accurate reporting of all resources available to investigators.</w:t>
      </w:r>
    </w:p>
    <w:p w14:paraId="354C7061" w14:textId="77777777" w:rsidR="009D1982" w:rsidRDefault="009D1982" w:rsidP="009D1982">
      <w:pPr>
        <w:pStyle w:val="Heading2"/>
        <w:rPr>
          <w:b/>
          <w:bCs/>
          <w:color w:val="auto"/>
        </w:rPr>
      </w:pPr>
      <w:r w:rsidRPr="009D1982">
        <w:rPr>
          <w:b/>
          <w:bCs/>
          <w:color w:val="auto"/>
        </w:rPr>
        <w:t>Scope</w:t>
      </w:r>
    </w:p>
    <w:p w14:paraId="0514AA08" w14:textId="77777777" w:rsidR="009D1982" w:rsidRPr="009D1982" w:rsidRDefault="009D1982" w:rsidP="009D1982"/>
    <w:p w14:paraId="50800165" w14:textId="77777777" w:rsidR="009D1982" w:rsidRPr="009D1982" w:rsidRDefault="009D1982" w:rsidP="009D1982">
      <w:r w:rsidRPr="009D1982">
        <w:t>This policy applies to all senior/key personnel named on NIH grant applications, progress reports, and Just-in-Time submissions.</w:t>
      </w:r>
    </w:p>
    <w:p w14:paraId="59C25675" w14:textId="77777777" w:rsidR="009D1982" w:rsidRDefault="009D1982" w:rsidP="009D1982">
      <w:pPr>
        <w:pStyle w:val="Heading2"/>
        <w:rPr>
          <w:b/>
          <w:bCs/>
          <w:color w:val="auto"/>
        </w:rPr>
      </w:pPr>
      <w:r w:rsidRPr="009D1982">
        <w:rPr>
          <w:b/>
          <w:bCs/>
          <w:color w:val="auto"/>
        </w:rPr>
        <w:t>Policy</w:t>
      </w:r>
    </w:p>
    <w:p w14:paraId="14FEBE28" w14:textId="77777777" w:rsidR="009D1982" w:rsidRPr="009D1982" w:rsidRDefault="009D1982" w:rsidP="009D1982"/>
    <w:p w14:paraId="0F7BAD62" w14:textId="5870478F" w:rsidR="009D1982" w:rsidRPr="009D1982" w:rsidRDefault="009D1982" w:rsidP="009D1982">
      <w:pPr>
        <w:pStyle w:val="ListParagraph"/>
        <w:numPr>
          <w:ilvl w:val="0"/>
          <w:numId w:val="2"/>
        </w:numPr>
      </w:pPr>
      <w:r w:rsidRPr="009D1982">
        <w:t>Other Support includes all resources (domestic and foreign) made available to a researcher in support of, or related to, their research endeavors, regardless of whether they involve monetary value.</w:t>
      </w:r>
    </w:p>
    <w:p w14:paraId="16B74B24" w14:textId="00C3DDF8" w:rsidR="009D1982" w:rsidRPr="009D1982" w:rsidRDefault="009D1982" w:rsidP="009D1982">
      <w:pPr>
        <w:pStyle w:val="ListParagraph"/>
        <w:numPr>
          <w:ilvl w:val="0"/>
          <w:numId w:val="2"/>
        </w:numPr>
      </w:pPr>
      <w:r w:rsidRPr="009D1982">
        <w:t>Disclosures must include active and pending support, in-kind contributions, consulting arrangements, and affiliations that provide resources.</w:t>
      </w:r>
    </w:p>
    <w:p w14:paraId="10CA62F2" w14:textId="6D85636C" w:rsidR="009D1982" w:rsidRPr="009D1982" w:rsidRDefault="009D1982" w:rsidP="009D1982">
      <w:pPr>
        <w:pStyle w:val="ListParagraph"/>
        <w:numPr>
          <w:ilvl w:val="0"/>
          <w:numId w:val="2"/>
        </w:numPr>
      </w:pPr>
      <w:r w:rsidRPr="009D1982">
        <w:t>Failure to disclose may result in withdrawal of applications, suspension of awards, or other enforcement actions.</w:t>
      </w:r>
    </w:p>
    <w:p w14:paraId="3F42A09A" w14:textId="16406162" w:rsidR="009D1982" w:rsidRPr="009D1982" w:rsidRDefault="009D1982" w:rsidP="009D1982">
      <w:pPr>
        <w:pStyle w:val="ListParagraph"/>
        <w:numPr>
          <w:ilvl w:val="0"/>
          <w:numId w:val="2"/>
        </w:numPr>
      </w:pPr>
      <w:r w:rsidRPr="009D1982">
        <w:t>Training relating to this policy, procedure, and form will be provided to all senior/key personnel before proposal submission and annually when the program is implemented.</w:t>
      </w:r>
    </w:p>
    <w:p w14:paraId="7A1800BE" w14:textId="45CCEDA6" w:rsidR="009D1982" w:rsidRPr="009D1982" w:rsidRDefault="009D1982" w:rsidP="009D1982">
      <w:pPr>
        <w:pStyle w:val="ListParagraph"/>
        <w:numPr>
          <w:ilvl w:val="0"/>
          <w:numId w:val="2"/>
        </w:numPr>
      </w:pPr>
      <w:r w:rsidRPr="009D1982">
        <w:t>Investigators are responsible for accurate and timely disclosure of all support.</w:t>
      </w:r>
    </w:p>
    <w:p w14:paraId="05E18033" w14:textId="4706A45E" w:rsidR="009D1982" w:rsidRPr="009D1982" w:rsidRDefault="009D1982" w:rsidP="009D1982">
      <w:pPr>
        <w:pStyle w:val="ListParagraph"/>
        <w:numPr>
          <w:ilvl w:val="0"/>
          <w:numId w:val="2"/>
        </w:numPr>
      </w:pPr>
      <w:r w:rsidRPr="009D1982">
        <w:t>Department Chairs are responsible for oversight of compliance within their units.</w:t>
      </w:r>
    </w:p>
    <w:p w14:paraId="36FFCBB7" w14:textId="57795917" w:rsidR="009D1982" w:rsidRDefault="009D1982" w:rsidP="009D1982">
      <w:pPr>
        <w:pStyle w:val="ListParagraph"/>
        <w:numPr>
          <w:ilvl w:val="0"/>
          <w:numId w:val="2"/>
        </w:numPr>
      </w:pPr>
      <w:r w:rsidRPr="009D1982">
        <w:t>The Office of Sponsored Programs is responsible for verification, training, and monitoring of disclosures.</w:t>
      </w:r>
    </w:p>
    <w:p w14:paraId="153AB7FB" w14:textId="77777777" w:rsidR="00FA11F7" w:rsidRPr="009D1982" w:rsidRDefault="00FA11F7" w:rsidP="009D1982">
      <w:pPr>
        <w:pStyle w:val="ListParagraph"/>
        <w:numPr>
          <w:ilvl w:val="0"/>
          <w:numId w:val="2"/>
        </w:numPr>
      </w:pPr>
    </w:p>
    <w:p w14:paraId="0E37053F" w14:textId="77777777" w:rsidR="009D1982" w:rsidRDefault="009D1982" w:rsidP="009D1982">
      <w:pPr>
        <w:pStyle w:val="Heading2"/>
        <w:rPr>
          <w:b/>
          <w:bCs/>
          <w:color w:val="auto"/>
        </w:rPr>
      </w:pPr>
      <w:r w:rsidRPr="009D1982">
        <w:rPr>
          <w:b/>
          <w:bCs/>
          <w:color w:val="auto"/>
        </w:rPr>
        <w:t>Procedure</w:t>
      </w:r>
    </w:p>
    <w:p w14:paraId="05111B13" w14:textId="77777777" w:rsidR="00FA11F7" w:rsidRPr="009D1982" w:rsidRDefault="00FA11F7" w:rsidP="00FA11F7"/>
    <w:p w14:paraId="6FD10C96" w14:textId="77777777" w:rsidR="009D1982" w:rsidRPr="009D1982" w:rsidRDefault="009D1982" w:rsidP="009D1982">
      <w:pPr>
        <w:rPr>
          <w:b/>
          <w:bCs/>
        </w:rPr>
      </w:pPr>
      <w:r w:rsidRPr="009D1982">
        <w:rPr>
          <w:b/>
          <w:bCs/>
        </w:rPr>
        <w:t>1. Identification of Support</w:t>
      </w:r>
    </w:p>
    <w:p w14:paraId="41DCDA5E" w14:textId="77777777" w:rsidR="009D1982" w:rsidRPr="009D1982" w:rsidRDefault="009D1982" w:rsidP="009D1982">
      <w:r w:rsidRPr="009D1982">
        <w:t>o Investigators must maintain up-to-date records of all active and pending support.</w:t>
      </w:r>
    </w:p>
    <w:p w14:paraId="50B21600" w14:textId="77777777" w:rsidR="009D1982" w:rsidRPr="009D1982" w:rsidRDefault="009D1982" w:rsidP="009D1982">
      <w:r w:rsidRPr="009D1982">
        <w:t>o This includes federal, non-federal, commercial, foreign, and institutional resources.</w:t>
      </w:r>
    </w:p>
    <w:p w14:paraId="5B02CD46" w14:textId="6010A266" w:rsidR="009D1982" w:rsidRDefault="009D1982" w:rsidP="009D1982">
      <w:r w:rsidRPr="009D1982">
        <w:lastRenderedPageBreak/>
        <w:t xml:space="preserve">o Investigators must notify the </w:t>
      </w:r>
      <w:r w:rsidRPr="009D1982">
        <w:t>Office of Research</w:t>
      </w:r>
      <w:r w:rsidRPr="009D1982">
        <w:t xml:space="preserve"> promptly when foreign contracts/agreements may exist </w:t>
      </w:r>
      <w:proofErr w:type="gramStart"/>
      <w:r w:rsidRPr="009D1982">
        <w:t>in order to</w:t>
      </w:r>
      <w:proofErr w:type="gramEnd"/>
      <w:r w:rsidRPr="009D1982">
        <w:t xml:space="preserve"> coordinate translation services as early as possible in the proposal or report development.</w:t>
      </w:r>
    </w:p>
    <w:p w14:paraId="7E878E2D" w14:textId="77777777" w:rsidR="00FA11F7" w:rsidRPr="009D1982" w:rsidRDefault="00FA11F7" w:rsidP="009D1982"/>
    <w:p w14:paraId="1589D704" w14:textId="77777777" w:rsidR="009D1982" w:rsidRPr="009D1982" w:rsidRDefault="009D1982" w:rsidP="009D1982">
      <w:pPr>
        <w:rPr>
          <w:b/>
          <w:bCs/>
        </w:rPr>
      </w:pPr>
      <w:r w:rsidRPr="009D1982">
        <w:rPr>
          <w:b/>
          <w:bCs/>
        </w:rPr>
        <w:t>2. Documentation</w:t>
      </w:r>
    </w:p>
    <w:p w14:paraId="640A6D19" w14:textId="77777777" w:rsidR="009D1982" w:rsidRPr="009D1982" w:rsidRDefault="009D1982" w:rsidP="009D1982">
      <w:r w:rsidRPr="009D1982">
        <w:t>o Complete the Other Support Disclosure Form for each investigator.</w:t>
      </w:r>
    </w:p>
    <w:p w14:paraId="7F083E35" w14:textId="77777777" w:rsidR="009D1982" w:rsidRPr="009D1982" w:rsidRDefault="009D1982" w:rsidP="009D1982">
      <w:r w:rsidRPr="009D1982">
        <w:t>o Disclose in-kind contributions (e.g., lab space, equipment, personnel).</w:t>
      </w:r>
    </w:p>
    <w:p w14:paraId="7A476732" w14:textId="77777777" w:rsidR="009D1982" w:rsidRDefault="009D1982" w:rsidP="009D1982">
      <w:r w:rsidRPr="009D1982">
        <w:t>o Translate and provide documentation for support originating in foreign languages if contracts or other legal documents are in languages other than English.</w:t>
      </w:r>
    </w:p>
    <w:p w14:paraId="3B1A55C0" w14:textId="77777777" w:rsidR="00FA11F7" w:rsidRPr="009D1982" w:rsidRDefault="00FA11F7" w:rsidP="009D1982"/>
    <w:p w14:paraId="204ED164" w14:textId="77777777" w:rsidR="009D1982" w:rsidRPr="009D1982" w:rsidRDefault="009D1982" w:rsidP="009D1982">
      <w:pPr>
        <w:rPr>
          <w:b/>
          <w:bCs/>
        </w:rPr>
      </w:pPr>
      <w:r w:rsidRPr="009D1982">
        <w:rPr>
          <w:b/>
          <w:bCs/>
        </w:rPr>
        <w:t>3. Submission Requirements</w:t>
      </w:r>
    </w:p>
    <w:p w14:paraId="0AC3B648" w14:textId="77777777" w:rsidR="009D1982" w:rsidRPr="009D1982" w:rsidRDefault="009D1982" w:rsidP="009D1982">
      <w:r w:rsidRPr="009D1982">
        <w:t>o At Just-in-Time, submit completed Other Support forms for all senior/key personnel.</w:t>
      </w:r>
    </w:p>
    <w:p w14:paraId="1134B08A" w14:textId="77777777" w:rsidR="009D1982" w:rsidRPr="009D1982" w:rsidRDefault="009D1982" w:rsidP="009D1982">
      <w:r w:rsidRPr="009D1982">
        <w:t xml:space="preserve">o </w:t>
      </w:r>
      <w:proofErr w:type="gramStart"/>
      <w:r w:rsidRPr="009D1982">
        <w:t>At</w:t>
      </w:r>
      <w:proofErr w:type="gramEnd"/>
      <w:r w:rsidRPr="009D1982">
        <w:t xml:space="preserve"> the progress report stage, review and update Other Support disclosures to reflect changes.</w:t>
      </w:r>
    </w:p>
    <w:p w14:paraId="2D656371" w14:textId="77777777" w:rsidR="009D1982" w:rsidRDefault="009D1982" w:rsidP="009D1982">
      <w:r w:rsidRPr="009D1982">
        <w:t>o Updated Other Support disclosures may be reported at any time.</w:t>
      </w:r>
    </w:p>
    <w:p w14:paraId="68C5E3FC" w14:textId="77777777" w:rsidR="00FA11F7" w:rsidRPr="009D1982" w:rsidRDefault="00FA11F7" w:rsidP="009D1982"/>
    <w:p w14:paraId="25A4C091" w14:textId="77777777" w:rsidR="009D1982" w:rsidRPr="009D1982" w:rsidRDefault="009D1982" w:rsidP="009D1982">
      <w:pPr>
        <w:rPr>
          <w:b/>
          <w:bCs/>
        </w:rPr>
      </w:pPr>
      <w:r w:rsidRPr="009D1982">
        <w:rPr>
          <w:b/>
          <w:bCs/>
        </w:rPr>
        <w:t>4. Certification</w:t>
      </w:r>
    </w:p>
    <w:p w14:paraId="3C7C3E56" w14:textId="77777777" w:rsidR="009D1982" w:rsidRPr="009D1982" w:rsidRDefault="009D1982" w:rsidP="009D1982">
      <w:r w:rsidRPr="009D1982">
        <w:t>o Each individual investigator must sign their disclosure form.</w:t>
      </w:r>
    </w:p>
    <w:p w14:paraId="057043E9" w14:textId="77777777" w:rsidR="009D1982" w:rsidRPr="009D1982" w:rsidRDefault="009D1982" w:rsidP="009D1982">
      <w:proofErr w:type="gramStart"/>
      <w:r w:rsidRPr="009D1982">
        <w:t>o Each</w:t>
      </w:r>
      <w:proofErr w:type="gramEnd"/>
      <w:r w:rsidRPr="009D1982">
        <w:t xml:space="preserve"> investigator must provide a wet-ink signature or an electronic signature (e.g., </w:t>
      </w:r>
      <w:proofErr w:type="spellStart"/>
      <w:r w:rsidRPr="009D1982">
        <w:t>DocuSign</w:t>
      </w:r>
      <w:proofErr w:type="spellEnd"/>
      <w:r w:rsidRPr="009D1982">
        <w:t>, Adobe, or institutional system) on their Other Support Disclosure Form. Signatures may not be delegated.</w:t>
      </w:r>
    </w:p>
    <w:p w14:paraId="3EE9ECE1" w14:textId="77777777" w:rsidR="009D1982" w:rsidRPr="009D1982" w:rsidRDefault="009D1982" w:rsidP="009D1982">
      <w:r w:rsidRPr="009D1982">
        <w:t xml:space="preserve">o </w:t>
      </w:r>
      <w:proofErr w:type="gramStart"/>
      <w:r w:rsidRPr="009D1982">
        <w:t>The</w:t>
      </w:r>
      <w:proofErr w:type="gramEnd"/>
      <w:r w:rsidRPr="009D1982">
        <w:t xml:space="preserve"> signed document must be a flattened PDF or form that may not be altered after signature.</w:t>
      </w:r>
    </w:p>
    <w:p w14:paraId="2F314629" w14:textId="77777777" w:rsidR="009D1982" w:rsidRPr="009D1982" w:rsidRDefault="009D1982" w:rsidP="009D1982">
      <w:r w:rsidRPr="009D1982">
        <w:t xml:space="preserve">o </w:t>
      </w:r>
      <w:proofErr w:type="gramStart"/>
      <w:r w:rsidRPr="009D1982">
        <w:t>By</w:t>
      </w:r>
      <w:proofErr w:type="gramEnd"/>
      <w:r w:rsidRPr="009D1982">
        <w:t xml:space="preserve"> signing, the investigator is certifying that the information is true, complete, and accurate.</w:t>
      </w:r>
    </w:p>
    <w:p w14:paraId="105D653E" w14:textId="77777777" w:rsidR="009D1982" w:rsidRDefault="009D1982" w:rsidP="009D1982">
      <w:r w:rsidRPr="009D1982">
        <w:t>o Institutions are required to review and endorse disclosures for accuracy.</w:t>
      </w:r>
    </w:p>
    <w:p w14:paraId="3B974B0C" w14:textId="77777777" w:rsidR="00FA11F7" w:rsidRPr="009D1982" w:rsidRDefault="00FA11F7" w:rsidP="009D1982"/>
    <w:p w14:paraId="6A01C6E6" w14:textId="77777777" w:rsidR="009D1982" w:rsidRPr="009D1982" w:rsidRDefault="009D1982" w:rsidP="009D1982">
      <w:pPr>
        <w:rPr>
          <w:b/>
          <w:bCs/>
        </w:rPr>
      </w:pPr>
      <w:r w:rsidRPr="009D1982">
        <w:rPr>
          <w:b/>
          <w:bCs/>
        </w:rPr>
        <w:t>5. Review and Monitoring</w:t>
      </w:r>
    </w:p>
    <w:p w14:paraId="61385B6A" w14:textId="77777777" w:rsidR="009D1982" w:rsidRPr="009D1982" w:rsidRDefault="009D1982" w:rsidP="009D1982">
      <w:r w:rsidRPr="009D1982">
        <w:t>o Department administrators must review disclosures before submission.</w:t>
      </w:r>
    </w:p>
    <w:p w14:paraId="4A17E6FF" w14:textId="6D97701D" w:rsidR="009D1982" w:rsidRDefault="009D1982" w:rsidP="009D1982">
      <w:r w:rsidRPr="009D1982">
        <w:t xml:space="preserve">o The </w:t>
      </w:r>
      <w:r w:rsidRPr="009D1982">
        <w:t>Office of Research</w:t>
      </w:r>
      <w:r w:rsidRPr="009D1982">
        <w:t xml:space="preserve"> will conduct compliance checks.</w:t>
      </w:r>
    </w:p>
    <w:p w14:paraId="0CBAECA2" w14:textId="77777777" w:rsidR="00FA11F7" w:rsidRPr="009D1982" w:rsidRDefault="00FA11F7" w:rsidP="009D1982"/>
    <w:p w14:paraId="12059749" w14:textId="77777777" w:rsidR="009D1982" w:rsidRPr="009D1982" w:rsidRDefault="009D1982" w:rsidP="009D1982">
      <w:pPr>
        <w:rPr>
          <w:b/>
          <w:bCs/>
        </w:rPr>
      </w:pPr>
      <w:r w:rsidRPr="009D1982">
        <w:rPr>
          <w:b/>
          <w:bCs/>
        </w:rPr>
        <w:t>6. Record Retention</w:t>
      </w:r>
    </w:p>
    <w:p w14:paraId="7B898C67" w14:textId="5BE239C1" w:rsidR="009D1982" w:rsidRPr="009D1982" w:rsidRDefault="009D1982" w:rsidP="009D1982">
      <w:r w:rsidRPr="009D1982">
        <w:t xml:space="preserve">o </w:t>
      </w:r>
      <w:r w:rsidRPr="009D1982">
        <w:t>The Office of Research</w:t>
      </w:r>
      <w:r w:rsidRPr="009D1982">
        <w:t xml:space="preserve"> will retain evidence of training provided.</w:t>
      </w:r>
    </w:p>
    <w:p w14:paraId="66DC5728" w14:textId="77777777" w:rsidR="009D1982" w:rsidRPr="009D1982" w:rsidRDefault="009D1982" w:rsidP="009D1982">
      <w:r w:rsidRPr="009D1982">
        <w:t>o All submitted and supporting documentation must be retained in accordance with federal recordkeeping requirements (minimum of 4 years after final expenditure report).</w:t>
      </w:r>
    </w:p>
    <w:p w14:paraId="4699C0D7" w14:textId="01023E87" w:rsidR="00732ACA" w:rsidRPr="009D1982" w:rsidRDefault="00732ACA" w:rsidP="007739E6"/>
    <w:sectPr w:rsidR="00732ACA" w:rsidRPr="009D1982" w:rsidSect="00554E48">
      <w:headerReference w:type="default" r:id="rId11"/>
      <w:footerReference w:type="default" r:id="rId12"/>
      <w:pgSz w:w="12240" w:h="15840"/>
      <w:pgMar w:top="1440" w:right="1080" w:bottom="1440" w:left="1080" w:header="31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A1ED5" w14:textId="77777777" w:rsidR="00916D38" w:rsidRDefault="00916D38" w:rsidP="00613F80">
      <w:pPr>
        <w:spacing w:after="0" w:line="240" w:lineRule="auto"/>
      </w:pPr>
      <w:r>
        <w:separator/>
      </w:r>
    </w:p>
  </w:endnote>
  <w:endnote w:type="continuationSeparator" w:id="0">
    <w:p w14:paraId="54F4254F" w14:textId="77777777" w:rsidR="00916D38" w:rsidRDefault="00916D38" w:rsidP="0061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3D10" w14:textId="77777777" w:rsidR="00717F3E" w:rsidRDefault="00717F3E">
    <w:pPr>
      <w:pStyle w:val="Footer"/>
    </w:pPr>
    <w:r>
      <w:rPr>
        <w:noProof/>
      </w:rPr>
      <w:drawing>
        <wp:anchor distT="36576" distB="36576" distL="36576" distR="36576" simplePos="0" relativeHeight="251661312" behindDoc="0" locked="0" layoutInCell="1" allowOverlap="1" wp14:anchorId="6DF897FA" wp14:editId="1FCD1B52">
          <wp:simplePos x="0" y="0"/>
          <wp:positionH relativeFrom="margin">
            <wp:posOffset>-633046</wp:posOffset>
          </wp:positionH>
          <wp:positionV relativeFrom="paragraph">
            <wp:posOffset>53991</wp:posOffset>
          </wp:positionV>
          <wp:extent cx="7671712" cy="5390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71712" cy="539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7A5D" w14:textId="77777777" w:rsidR="00916D38" w:rsidRDefault="00916D38" w:rsidP="00613F80">
      <w:pPr>
        <w:spacing w:after="0" w:line="240" w:lineRule="auto"/>
      </w:pPr>
      <w:r>
        <w:separator/>
      </w:r>
    </w:p>
  </w:footnote>
  <w:footnote w:type="continuationSeparator" w:id="0">
    <w:p w14:paraId="44B8DF32" w14:textId="77777777" w:rsidR="00916D38" w:rsidRDefault="00916D38" w:rsidP="00613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09F" w14:textId="198AAB66" w:rsidR="00717F3E" w:rsidRDefault="00554E48">
    <w:pPr>
      <w:pStyle w:val="Header"/>
    </w:pPr>
    <w:r>
      <w:rPr>
        <w:noProof/>
      </w:rPr>
      <w:drawing>
        <wp:anchor distT="36576" distB="36576" distL="36576" distR="36576" simplePos="0" relativeHeight="251663360" behindDoc="0" locked="0" layoutInCell="1" allowOverlap="1" wp14:anchorId="4BEEC71F" wp14:editId="3D635C28">
          <wp:simplePos x="0" y="0"/>
          <wp:positionH relativeFrom="margin">
            <wp:posOffset>-650631</wp:posOffset>
          </wp:positionH>
          <wp:positionV relativeFrom="paragraph">
            <wp:posOffset>-1976511</wp:posOffset>
          </wp:positionV>
          <wp:extent cx="7698459" cy="12453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98459" cy="124533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00485"/>
    <w:multiLevelType w:val="hybridMultilevel"/>
    <w:tmpl w:val="10D0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8C7265"/>
    <w:multiLevelType w:val="hybridMultilevel"/>
    <w:tmpl w:val="D5A4B268"/>
    <w:lvl w:ilvl="0" w:tplc="A45263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47964">
    <w:abstractNumId w:val="0"/>
  </w:num>
  <w:num w:numId="2" w16cid:durableId="771896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FA"/>
    <w:rsid w:val="00066508"/>
    <w:rsid w:val="000837D8"/>
    <w:rsid w:val="000B7F2C"/>
    <w:rsid w:val="00103D4A"/>
    <w:rsid w:val="001D5DA2"/>
    <w:rsid w:val="002503AC"/>
    <w:rsid w:val="002B6939"/>
    <w:rsid w:val="002E1153"/>
    <w:rsid w:val="00395395"/>
    <w:rsid w:val="00396F70"/>
    <w:rsid w:val="00440E15"/>
    <w:rsid w:val="00451AF2"/>
    <w:rsid w:val="004A5D93"/>
    <w:rsid w:val="004B7DDD"/>
    <w:rsid w:val="00554E48"/>
    <w:rsid w:val="0057498A"/>
    <w:rsid w:val="00593D7D"/>
    <w:rsid w:val="00613F80"/>
    <w:rsid w:val="006C5895"/>
    <w:rsid w:val="006E517F"/>
    <w:rsid w:val="007048CC"/>
    <w:rsid w:val="00717F3E"/>
    <w:rsid w:val="00732ACA"/>
    <w:rsid w:val="00755547"/>
    <w:rsid w:val="007739E6"/>
    <w:rsid w:val="007759FA"/>
    <w:rsid w:val="00776FD1"/>
    <w:rsid w:val="007C0EA3"/>
    <w:rsid w:val="0082634C"/>
    <w:rsid w:val="00916D38"/>
    <w:rsid w:val="00931D3C"/>
    <w:rsid w:val="009B2AF0"/>
    <w:rsid w:val="009B4239"/>
    <w:rsid w:val="009C5B62"/>
    <w:rsid w:val="009D1982"/>
    <w:rsid w:val="009E7EB7"/>
    <w:rsid w:val="00A55FD9"/>
    <w:rsid w:val="00A60D1F"/>
    <w:rsid w:val="00AA403D"/>
    <w:rsid w:val="00AF2BBF"/>
    <w:rsid w:val="00BB183E"/>
    <w:rsid w:val="00BF1B86"/>
    <w:rsid w:val="00CC5151"/>
    <w:rsid w:val="00D83653"/>
    <w:rsid w:val="00DA0A0F"/>
    <w:rsid w:val="00DD75D9"/>
    <w:rsid w:val="00E13F6D"/>
    <w:rsid w:val="00F200F2"/>
    <w:rsid w:val="00F52F6B"/>
    <w:rsid w:val="00F54963"/>
    <w:rsid w:val="00FA11F7"/>
    <w:rsid w:val="00FF2C89"/>
    <w:rsid w:val="196783D8"/>
    <w:rsid w:val="2A476723"/>
    <w:rsid w:val="543F8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26E8A"/>
  <w15:chartTrackingRefBased/>
  <w15:docId w15:val="{CBCABAEC-6A3B-C441-899A-0A62F76E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9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19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F80"/>
  </w:style>
  <w:style w:type="paragraph" w:styleId="Footer">
    <w:name w:val="footer"/>
    <w:basedOn w:val="Normal"/>
    <w:link w:val="FooterChar"/>
    <w:uiPriority w:val="99"/>
    <w:unhideWhenUsed/>
    <w:rsid w:val="00613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F80"/>
  </w:style>
  <w:style w:type="paragraph" w:styleId="BalloonText">
    <w:name w:val="Balloon Text"/>
    <w:basedOn w:val="Normal"/>
    <w:link w:val="BalloonTextChar"/>
    <w:uiPriority w:val="99"/>
    <w:semiHidden/>
    <w:unhideWhenUsed/>
    <w:rsid w:val="00717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F3E"/>
    <w:rPr>
      <w:rFonts w:ascii="Segoe UI" w:hAnsi="Segoe UI" w:cs="Segoe UI"/>
      <w:sz w:val="18"/>
      <w:szCs w:val="18"/>
    </w:rPr>
  </w:style>
  <w:style w:type="character" w:styleId="Hyperlink">
    <w:name w:val="Hyperlink"/>
    <w:basedOn w:val="DefaultParagraphFont"/>
    <w:uiPriority w:val="99"/>
    <w:unhideWhenUsed/>
    <w:rsid w:val="196783D8"/>
    <w:rPr>
      <w:color w:val="0563C1"/>
      <w:u w:val="single"/>
    </w:rPr>
  </w:style>
  <w:style w:type="character" w:customStyle="1" w:styleId="Heading1Char">
    <w:name w:val="Heading 1 Char"/>
    <w:basedOn w:val="DefaultParagraphFont"/>
    <w:link w:val="Heading1"/>
    <w:uiPriority w:val="9"/>
    <w:rsid w:val="009D19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198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D1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b1e99a-c871-4bd9-a66e-60ff8359a63d" xsi:nil="true"/>
    <lcf76f155ced4ddcb4097134ff3c332f xmlns="27b7fd82-b7b7-42e5-ad3e-d9908fc221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9235821AAE904EA6CCE5539C02C3F3" ma:contentTypeVersion="11" ma:contentTypeDescription="Create a new document." ma:contentTypeScope="" ma:versionID="dd3851184a0a89441bdd5bd2248f65b3">
  <xsd:schema xmlns:xsd="http://www.w3.org/2001/XMLSchema" xmlns:xs="http://www.w3.org/2001/XMLSchema" xmlns:p="http://schemas.microsoft.com/office/2006/metadata/properties" xmlns:ns2="27b7fd82-b7b7-42e5-ad3e-d9908fc221a9" xmlns:ns3="66b1e99a-c871-4bd9-a66e-60ff8359a63d" targetNamespace="http://schemas.microsoft.com/office/2006/metadata/properties" ma:root="true" ma:fieldsID="29257ee60267e140e8fa4afff844ca2a" ns2:_="" ns3:_="">
    <xsd:import namespace="27b7fd82-b7b7-42e5-ad3e-d9908fc221a9"/>
    <xsd:import namespace="66b1e99a-c871-4bd9-a66e-60ff8359a6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7fd82-b7b7-42e5-ad3e-d9908fc22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4ec205-e531-4273-b5c1-c60c5be213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1e99a-c871-4bd9-a66e-60ff8359a6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2cff9e-2c8d-4c57-9ac8-dd3b82419d0e}" ma:internalName="TaxCatchAll" ma:showField="CatchAllData" ma:web="66b1e99a-c871-4bd9-a66e-60ff8359a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3E620-CDA9-421C-9562-DD2980091860}">
  <ds:schemaRefs>
    <ds:schemaRef ds:uri="http://schemas.microsoft.com/office/2006/metadata/properties"/>
    <ds:schemaRef ds:uri="http://schemas.microsoft.com/office/infopath/2007/PartnerControls"/>
    <ds:schemaRef ds:uri="66b1e99a-c871-4bd9-a66e-60ff8359a63d"/>
    <ds:schemaRef ds:uri="27b7fd82-b7b7-42e5-ad3e-d9908fc221a9"/>
  </ds:schemaRefs>
</ds:datastoreItem>
</file>

<file path=customXml/itemProps2.xml><?xml version="1.0" encoding="utf-8"?>
<ds:datastoreItem xmlns:ds="http://schemas.openxmlformats.org/officeDocument/2006/customXml" ds:itemID="{12D7036B-0049-4654-B3F3-AE1CE4EE32BB}">
  <ds:schemaRefs>
    <ds:schemaRef ds:uri="http://schemas.microsoft.com/sharepoint/v3/contenttype/forms"/>
  </ds:schemaRefs>
</ds:datastoreItem>
</file>

<file path=customXml/itemProps3.xml><?xml version="1.0" encoding="utf-8"?>
<ds:datastoreItem xmlns:ds="http://schemas.openxmlformats.org/officeDocument/2006/customXml" ds:itemID="{CCBD3C6B-87B7-3F44-85A6-B784A0F86B1B}">
  <ds:schemaRefs>
    <ds:schemaRef ds:uri="http://schemas.openxmlformats.org/officeDocument/2006/bibliography"/>
  </ds:schemaRefs>
</ds:datastoreItem>
</file>

<file path=customXml/itemProps4.xml><?xml version="1.0" encoding="utf-8"?>
<ds:datastoreItem xmlns:ds="http://schemas.openxmlformats.org/officeDocument/2006/customXml" ds:itemID="{49DF849E-E8E1-4E4C-98D0-E0B9910DB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7fd82-b7b7-42e5-ad3e-d9908fc221a9"/>
    <ds:schemaRef ds:uri="66b1e99a-c871-4bd9-a66e-60ff8359a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442</Words>
  <Characters>2870</Characters>
  <Application>Microsoft Office Word</Application>
  <DocSecurity>0</DocSecurity>
  <Lines>73</Lines>
  <Paragraphs>41</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Aubrey Engel</cp:lastModifiedBy>
  <cp:revision>3</cp:revision>
  <cp:lastPrinted>2019-11-26T17:31:00Z</cp:lastPrinted>
  <dcterms:created xsi:type="dcterms:W3CDTF">2025-12-02T16:31:00Z</dcterms:created>
  <dcterms:modified xsi:type="dcterms:W3CDTF">2025-12-02T16:32:00Z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0x010100BB9235821AAE904EA6CCE5539C02C3F3</vt:lpwstr>
  </property>
  <property fmtid="{D5CDD505-2E9C-101B-9397-08002B2CF9AE}" pid="3" name="MediaServiceImageTags">
    <vt:lpwstr/>
  </property>
  <property fmtid="{D5CDD505-2E9C-101B-9397-08002B2CF9AE}" pid="4" name="GrammarlyDocumentId">
    <vt:lpwstr>a1234ed4-834f-4bd3-8240-344e26c19467</vt:lpwstr>
  </property>
</Properties>
</file>